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5C7" w:rsidRDefault="009A15C7" w:rsidP="009A15C7">
      <w:pPr>
        <w:bidi w:val="0"/>
        <w:spacing w:before="120" w:after="120" w:line="240" w:lineRule="auto"/>
        <w:jc w:val="center"/>
        <w:rPr>
          <w:rFonts w:ascii="Times New Roman" w:eastAsiaTheme="minorEastAsia" w:hAnsi="Times New Roman" w:cs="B Nazanin"/>
          <w:b/>
          <w:bCs/>
          <w:sz w:val="36"/>
          <w:szCs w:val="36"/>
        </w:rPr>
      </w:pPr>
      <w:r w:rsidRPr="00625089">
        <w:rPr>
          <w:rFonts w:ascii="Times New Roman" w:eastAsiaTheme="minorEastAsia" w:hAnsi="Times New Roman" w:cs="B Nazanin"/>
          <w:b/>
          <w:bCs/>
          <w:sz w:val="36"/>
          <w:szCs w:val="36"/>
        </w:rPr>
        <w:t xml:space="preserve">Comparison of the effects of standard dose versus high and CRP titrated dose of corticosteroids on the clinical course and outcomes of the patients admitted with COVID 19 </w:t>
      </w:r>
    </w:p>
    <w:p w:rsidR="00625089" w:rsidRPr="00625089" w:rsidRDefault="00625089" w:rsidP="00625089">
      <w:pPr>
        <w:bidi w:val="0"/>
        <w:spacing w:before="120" w:after="120" w:line="240" w:lineRule="auto"/>
        <w:jc w:val="center"/>
        <w:rPr>
          <w:rFonts w:ascii="Times New Roman" w:eastAsiaTheme="minorEastAsia" w:hAnsi="Times New Roman" w:cs="B Nazanin"/>
          <w:b/>
          <w:bCs/>
          <w:sz w:val="36"/>
          <w:szCs w:val="36"/>
        </w:rPr>
      </w:pPr>
    </w:p>
    <w:p w:rsidR="009A15C7" w:rsidRPr="00625089" w:rsidRDefault="009A15C7" w:rsidP="00641381">
      <w:pPr>
        <w:jc w:val="right"/>
        <w:rPr>
          <w:rFonts w:asciiTheme="majorBidi" w:hAnsiTheme="majorBidi" w:cstheme="majorBidi"/>
          <w:color w:val="1D1D1D"/>
          <w:sz w:val="24"/>
          <w:szCs w:val="24"/>
          <w:shd w:val="clear" w:color="auto" w:fill="FFFFFF"/>
          <w:vertAlign w:val="superscript"/>
        </w:rPr>
      </w:pPr>
      <w:r w:rsidRPr="00625089">
        <w:rPr>
          <w:rFonts w:asciiTheme="majorBidi" w:hAnsiTheme="majorBidi" w:cstheme="majorBidi"/>
          <w:color w:val="1D1D1D"/>
          <w:sz w:val="24"/>
          <w:szCs w:val="24"/>
          <w:shd w:val="clear" w:color="auto" w:fill="FFFFFF"/>
        </w:rPr>
        <w:t>Hossein Mehravaran</w:t>
      </w:r>
      <w:r w:rsidR="007B7FEA" w:rsidRPr="00625089">
        <w:rPr>
          <w:rFonts w:asciiTheme="majorBidi" w:hAnsiTheme="majorBidi" w:cstheme="majorBidi"/>
          <w:color w:val="1D1D1D"/>
          <w:sz w:val="24"/>
          <w:szCs w:val="24"/>
          <w:shd w:val="clear" w:color="auto" w:fill="FFFFFF"/>
          <w:vertAlign w:val="superscript"/>
        </w:rPr>
        <w:t>1</w:t>
      </w:r>
      <w:r w:rsidR="00E92A2F" w:rsidRPr="00625089">
        <w:rPr>
          <w:rFonts w:asciiTheme="majorBidi" w:hAnsiTheme="majorBidi" w:cstheme="majorBidi"/>
          <w:color w:val="1D1D1D"/>
          <w:sz w:val="24"/>
          <w:szCs w:val="24"/>
          <w:shd w:val="clear" w:color="auto" w:fill="FFFFFF"/>
          <w:vertAlign w:val="superscript"/>
        </w:rPr>
        <w:t>,2</w:t>
      </w:r>
      <w:r w:rsidRPr="00625089">
        <w:rPr>
          <w:rFonts w:asciiTheme="majorBidi" w:hAnsiTheme="majorBidi" w:cstheme="majorBidi"/>
          <w:color w:val="1D1D1D"/>
          <w:sz w:val="24"/>
          <w:szCs w:val="24"/>
          <w:shd w:val="clear" w:color="auto" w:fill="FFFFFF"/>
        </w:rPr>
        <w:t xml:space="preserve">, </w:t>
      </w:r>
      <w:proofErr w:type="spellStart"/>
      <w:r w:rsidRPr="00625089">
        <w:rPr>
          <w:rFonts w:asciiTheme="majorBidi" w:hAnsiTheme="majorBidi" w:cstheme="majorBidi"/>
          <w:color w:val="1D1D1D"/>
          <w:sz w:val="24"/>
          <w:szCs w:val="24"/>
          <w:shd w:val="clear" w:color="auto" w:fill="FFFFFF"/>
        </w:rPr>
        <w:t>Sepideh</w:t>
      </w:r>
      <w:proofErr w:type="spellEnd"/>
      <w:r w:rsidRPr="00625089">
        <w:rPr>
          <w:rFonts w:asciiTheme="majorBidi" w:hAnsiTheme="majorBidi" w:cstheme="majorBidi"/>
          <w:color w:val="1D1D1D"/>
          <w:sz w:val="24"/>
          <w:szCs w:val="24"/>
          <w:shd w:val="clear" w:color="auto" w:fill="FFFFFF"/>
        </w:rPr>
        <w:t xml:space="preserve"> Habibi</w:t>
      </w:r>
      <w:r w:rsidR="00665D71" w:rsidRPr="00625089">
        <w:rPr>
          <w:rFonts w:asciiTheme="majorBidi" w:hAnsiTheme="majorBidi" w:cstheme="majorBidi"/>
          <w:color w:val="1D1D1D"/>
          <w:sz w:val="24"/>
          <w:szCs w:val="24"/>
          <w:shd w:val="clear" w:color="auto" w:fill="FFFFFF"/>
          <w:vertAlign w:val="superscript"/>
        </w:rPr>
        <w:t>3</w:t>
      </w:r>
      <w:r w:rsidR="00625089">
        <w:rPr>
          <w:rFonts w:asciiTheme="majorBidi" w:hAnsiTheme="majorBidi" w:cstheme="majorBidi"/>
          <w:color w:val="1D1D1D"/>
          <w:sz w:val="24"/>
          <w:szCs w:val="24"/>
          <w:shd w:val="clear" w:color="auto" w:fill="FFFFFF"/>
        </w:rPr>
        <w:t>*</w:t>
      </w:r>
      <w:r w:rsidRPr="00625089">
        <w:rPr>
          <w:rFonts w:asciiTheme="majorBidi" w:hAnsiTheme="majorBidi" w:cstheme="majorBidi"/>
          <w:color w:val="1D1D1D"/>
          <w:sz w:val="24"/>
          <w:szCs w:val="24"/>
          <w:shd w:val="clear" w:color="auto" w:fill="FFFFFF"/>
        </w:rPr>
        <w:t xml:space="preserve">, </w:t>
      </w:r>
      <w:proofErr w:type="spellStart"/>
      <w:r w:rsidRPr="00625089">
        <w:rPr>
          <w:rFonts w:asciiTheme="majorBidi" w:hAnsiTheme="majorBidi" w:cstheme="majorBidi"/>
          <w:color w:val="1D1D1D"/>
          <w:sz w:val="24"/>
          <w:szCs w:val="24"/>
          <w:shd w:val="clear" w:color="auto" w:fill="FFFFFF"/>
        </w:rPr>
        <w:t>Masoud</w:t>
      </w:r>
      <w:proofErr w:type="spellEnd"/>
      <w:r w:rsidRPr="00625089">
        <w:rPr>
          <w:rFonts w:asciiTheme="majorBidi" w:hAnsiTheme="majorBidi" w:cstheme="majorBidi"/>
          <w:color w:val="1D1D1D"/>
          <w:sz w:val="24"/>
          <w:szCs w:val="24"/>
          <w:shd w:val="clear" w:color="auto" w:fill="FFFFFF"/>
        </w:rPr>
        <w:t xml:space="preserve"> Aliyali</w:t>
      </w:r>
      <w:r w:rsidR="007B7FEA" w:rsidRPr="00625089">
        <w:rPr>
          <w:rFonts w:asciiTheme="majorBidi" w:hAnsiTheme="majorBidi" w:cstheme="majorBidi"/>
          <w:color w:val="1D1D1D"/>
          <w:sz w:val="24"/>
          <w:szCs w:val="24"/>
          <w:shd w:val="clear" w:color="auto" w:fill="FFFFFF"/>
          <w:vertAlign w:val="superscript"/>
        </w:rPr>
        <w:t>1</w:t>
      </w:r>
      <w:r w:rsidRPr="00625089">
        <w:rPr>
          <w:rFonts w:asciiTheme="majorBidi" w:hAnsiTheme="majorBidi" w:cstheme="majorBidi"/>
          <w:color w:val="1D1D1D"/>
          <w:sz w:val="24"/>
          <w:szCs w:val="24"/>
          <w:shd w:val="clear" w:color="auto" w:fill="FFFFFF"/>
        </w:rPr>
        <w:t xml:space="preserve">, </w:t>
      </w:r>
      <w:proofErr w:type="spellStart"/>
      <w:r w:rsidRPr="00625089">
        <w:rPr>
          <w:rFonts w:asciiTheme="majorBidi" w:hAnsiTheme="majorBidi" w:cstheme="majorBidi"/>
          <w:color w:val="1D1D1D"/>
          <w:sz w:val="24"/>
          <w:szCs w:val="24"/>
          <w:shd w:val="clear" w:color="auto" w:fill="FFFFFF"/>
        </w:rPr>
        <w:t>Siavash</w:t>
      </w:r>
      <w:proofErr w:type="spellEnd"/>
      <w:r w:rsidRPr="00625089">
        <w:rPr>
          <w:rFonts w:asciiTheme="majorBidi" w:hAnsiTheme="majorBidi" w:cstheme="majorBidi"/>
          <w:color w:val="1D1D1D"/>
          <w:sz w:val="24"/>
          <w:szCs w:val="24"/>
          <w:shd w:val="clear" w:color="auto" w:fill="FFFFFF"/>
        </w:rPr>
        <w:t xml:space="preserve"> Abedi</w:t>
      </w:r>
      <w:r w:rsidR="007B7FEA" w:rsidRPr="00625089">
        <w:rPr>
          <w:rFonts w:asciiTheme="majorBidi" w:hAnsiTheme="majorBidi" w:cstheme="majorBidi"/>
          <w:color w:val="1D1D1D"/>
          <w:sz w:val="24"/>
          <w:szCs w:val="24"/>
          <w:shd w:val="clear" w:color="auto" w:fill="FFFFFF"/>
          <w:vertAlign w:val="superscript"/>
        </w:rPr>
        <w:t>1</w:t>
      </w:r>
      <w:r w:rsidRPr="00625089">
        <w:rPr>
          <w:rFonts w:asciiTheme="majorBidi" w:hAnsiTheme="majorBidi" w:cstheme="majorBidi"/>
          <w:color w:val="1D1D1D"/>
          <w:sz w:val="24"/>
          <w:szCs w:val="24"/>
          <w:shd w:val="clear" w:color="auto" w:fill="FFFFFF"/>
        </w:rPr>
        <w:t>, Ali Sharifpour</w:t>
      </w:r>
      <w:r w:rsidR="007B7FEA" w:rsidRPr="00625089">
        <w:rPr>
          <w:rFonts w:asciiTheme="majorBidi" w:hAnsiTheme="majorBidi" w:cstheme="majorBidi"/>
          <w:color w:val="1D1D1D"/>
          <w:sz w:val="24"/>
          <w:szCs w:val="24"/>
          <w:shd w:val="clear" w:color="auto" w:fill="FFFFFF"/>
          <w:vertAlign w:val="superscript"/>
        </w:rPr>
        <w:t>1</w:t>
      </w:r>
      <w:r w:rsidRPr="00625089">
        <w:rPr>
          <w:rFonts w:asciiTheme="majorBidi" w:hAnsiTheme="majorBidi" w:cstheme="majorBidi"/>
          <w:color w:val="1D1D1D"/>
          <w:sz w:val="24"/>
          <w:szCs w:val="24"/>
          <w:shd w:val="clear" w:color="auto" w:fill="FFFFFF"/>
        </w:rPr>
        <w:t xml:space="preserve">, </w:t>
      </w:r>
      <w:proofErr w:type="spellStart"/>
      <w:r w:rsidRPr="00625089">
        <w:rPr>
          <w:rFonts w:asciiTheme="majorBidi" w:hAnsiTheme="majorBidi" w:cstheme="majorBidi"/>
          <w:color w:val="1D1D1D"/>
          <w:sz w:val="24"/>
          <w:szCs w:val="24"/>
          <w:shd w:val="clear" w:color="auto" w:fill="FFFFFF"/>
        </w:rPr>
        <w:t>Majidreza</w:t>
      </w:r>
      <w:proofErr w:type="spellEnd"/>
      <w:r w:rsidRPr="00625089">
        <w:rPr>
          <w:rFonts w:asciiTheme="majorBidi" w:hAnsiTheme="majorBidi" w:cstheme="majorBidi"/>
          <w:color w:val="1D1D1D"/>
          <w:sz w:val="24"/>
          <w:szCs w:val="24"/>
          <w:shd w:val="clear" w:color="auto" w:fill="FFFFFF"/>
        </w:rPr>
        <w:t xml:space="preserve"> Adelani</w:t>
      </w:r>
      <w:r w:rsidR="007B7FEA" w:rsidRPr="00625089">
        <w:rPr>
          <w:rFonts w:asciiTheme="majorBidi" w:hAnsiTheme="majorBidi" w:cstheme="majorBidi"/>
          <w:color w:val="1D1D1D"/>
          <w:sz w:val="24"/>
          <w:szCs w:val="24"/>
          <w:shd w:val="clear" w:color="auto" w:fill="FFFFFF"/>
          <w:vertAlign w:val="superscript"/>
        </w:rPr>
        <w:t>1</w:t>
      </w:r>
      <w:r w:rsidRPr="00625089">
        <w:rPr>
          <w:rFonts w:asciiTheme="majorBidi" w:hAnsiTheme="majorBidi" w:cstheme="majorBidi"/>
          <w:color w:val="1D1D1D"/>
          <w:sz w:val="24"/>
          <w:szCs w:val="24"/>
          <w:shd w:val="clear" w:color="auto" w:fill="FFFFFF"/>
        </w:rPr>
        <w:t>, Reza Alizadeh-Navaei</w:t>
      </w:r>
      <w:r w:rsidR="00641381">
        <w:rPr>
          <w:rFonts w:asciiTheme="majorBidi" w:hAnsiTheme="majorBidi" w:cstheme="majorBidi"/>
          <w:color w:val="1D1D1D"/>
          <w:sz w:val="24"/>
          <w:szCs w:val="24"/>
          <w:shd w:val="clear" w:color="auto" w:fill="FFFFFF"/>
          <w:vertAlign w:val="superscript"/>
        </w:rPr>
        <w:t>4</w:t>
      </w:r>
      <w:r w:rsidRPr="00625089">
        <w:rPr>
          <w:rFonts w:asciiTheme="majorBidi" w:hAnsiTheme="majorBidi" w:cstheme="majorBidi"/>
          <w:color w:val="1D1D1D"/>
          <w:sz w:val="24"/>
          <w:szCs w:val="24"/>
          <w:shd w:val="clear" w:color="auto" w:fill="FFFFFF"/>
        </w:rPr>
        <w:t xml:space="preserve">, </w:t>
      </w:r>
      <w:r w:rsidR="00641381">
        <w:rPr>
          <w:rFonts w:asciiTheme="majorBidi" w:hAnsiTheme="majorBidi" w:cstheme="majorBidi"/>
          <w:color w:val="1D1D1D"/>
          <w:sz w:val="24"/>
          <w:szCs w:val="24"/>
          <w:shd w:val="clear" w:color="auto" w:fill="FFFFFF"/>
        </w:rPr>
        <w:t>Zahra Hosseini-khah</w:t>
      </w:r>
      <w:r w:rsidR="00641381">
        <w:rPr>
          <w:rFonts w:asciiTheme="majorBidi" w:hAnsiTheme="majorBidi" w:cstheme="majorBidi"/>
          <w:color w:val="1D1D1D"/>
          <w:sz w:val="24"/>
          <w:szCs w:val="24"/>
          <w:shd w:val="clear" w:color="auto" w:fill="FFFFFF"/>
          <w:vertAlign w:val="superscript"/>
        </w:rPr>
        <w:t>5</w:t>
      </w:r>
      <w:r w:rsidR="00641381">
        <w:rPr>
          <w:rFonts w:asciiTheme="majorBidi" w:hAnsiTheme="majorBidi" w:cstheme="majorBidi"/>
          <w:color w:val="1D1D1D"/>
          <w:sz w:val="24"/>
          <w:szCs w:val="24"/>
          <w:shd w:val="clear" w:color="auto" w:fill="FFFFFF"/>
        </w:rPr>
        <w:t xml:space="preserve">, </w:t>
      </w:r>
      <w:proofErr w:type="spellStart"/>
      <w:r w:rsidRPr="00625089">
        <w:rPr>
          <w:rFonts w:asciiTheme="majorBidi" w:hAnsiTheme="majorBidi" w:cstheme="majorBidi"/>
          <w:color w:val="1D1D1D"/>
          <w:sz w:val="24"/>
          <w:szCs w:val="24"/>
          <w:shd w:val="clear" w:color="auto" w:fill="FFFFFF"/>
        </w:rPr>
        <w:t>Erfan</w:t>
      </w:r>
      <w:proofErr w:type="spellEnd"/>
      <w:r w:rsidRPr="00625089">
        <w:rPr>
          <w:rFonts w:asciiTheme="majorBidi" w:hAnsiTheme="majorBidi" w:cstheme="majorBidi"/>
          <w:color w:val="1D1D1D"/>
          <w:sz w:val="24"/>
          <w:szCs w:val="24"/>
          <w:shd w:val="clear" w:color="auto" w:fill="FFFFFF"/>
        </w:rPr>
        <w:t xml:space="preserve"> Ghadirzadeh</w:t>
      </w:r>
      <w:r w:rsidR="00641381">
        <w:rPr>
          <w:rFonts w:asciiTheme="majorBidi" w:hAnsiTheme="majorBidi" w:cstheme="majorBidi"/>
          <w:color w:val="1D1D1D"/>
          <w:sz w:val="24"/>
          <w:szCs w:val="24"/>
          <w:shd w:val="clear" w:color="auto" w:fill="FFFFFF"/>
          <w:vertAlign w:val="superscript"/>
        </w:rPr>
        <w:t>6</w:t>
      </w:r>
    </w:p>
    <w:p w:rsidR="007B7FEA" w:rsidRPr="00665D71" w:rsidRDefault="00A84A07" w:rsidP="009A15C7">
      <w:pPr>
        <w:jc w:val="right"/>
        <w:rPr>
          <w:rFonts w:asciiTheme="majorBidi" w:hAnsiTheme="majorBidi" w:cstheme="majorBidi"/>
          <w:color w:val="333333"/>
          <w:shd w:val="clear" w:color="auto" w:fill="FFFFFF"/>
        </w:rPr>
      </w:pPr>
      <w:r w:rsidRPr="00665D71">
        <w:rPr>
          <w:rFonts w:asciiTheme="majorBidi" w:hAnsiTheme="majorBidi" w:cstheme="majorBidi"/>
          <w:color w:val="333333"/>
          <w:shd w:val="clear" w:color="auto" w:fill="FFFFFF"/>
          <w:vertAlign w:val="superscript"/>
        </w:rPr>
        <w:t>1</w:t>
      </w:r>
      <w:r w:rsidRPr="00665D71">
        <w:rPr>
          <w:rFonts w:asciiTheme="majorBidi" w:hAnsiTheme="majorBidi" w:cstheme="majorBidi"/>
          <w:color w:val="333333"/>
          <w:shd w:val="clear" w:color="auto" w:fill="FFFFFF"/>
        </w:rPr>
        <w:t>Division of Pulmonary and Critical Care, Department of Internal Medicine, School of Medicine, Mazandaran University of Medical Sciences</w:t>
      </w:r>
    </w:p>
    <w:p w:rsidR="00A84A07" w:rsidRPr="00665D71" w:rsidRDefault="00A84A07" w:rsidP="009A15C7">
      <w:pPr>
        <w:jc w:val="right"/>
        <w:rPr>
          <w:rFonts w:asciiTheme="majorBidi" w:hAnsiTheme="majorBidi" w:cstheme="majorBidi"/>
          <w:color w:val="494949"/>
          <w:shd w:val="clear" w:color="auto" w:fill="FFFFFF"/>
        </w:rPr>
      </w:pPr>
      <w:r w:rsidRPr="00665D71">
        <w:rPr>
          <w:rFonts w:asciiTheme="majorBidi" w:hAnsiTheme="majorBidi" w:cstheme="majorBidi"/>
          <w:color w:val="333333"/>
          <w:shd w:val="clear" w:color="auto" w:fill="FFFFFF"/>
          <w:vertAlign w:val="superscript"/>
        </w:rPr>
        <w:t>2</w:t>
      </w:r>
      <w:r w:rsidR="00E92A2F" w:rsidRPr="00665D71">
        <w:rPr>
          <w:rFonts w:asciiTheme="majorBidi" w:hAnsiTheme="majorBidi" w:cstheme="majorBidi"/>
          <w:color w:val="494949"/>
          <w:shd w:val="clear" w:color="auto" w:fill="FFFFFF"/>
        </w:rPr>
        <w:t xml:space="preserve"> Gastrointestinal Cancer Research Center, Non-Communicable Diseases Institute, Mazandaran University of Medical Sciences, Sari, Iran</w:t>
      </w:r>
    </w:p>
    <w:p w:rsidR="00E92A2F" w:rsidRPr="00665D71" w:rsidRDefault="00E92A2F" w:rsidP="009A15C7">
      <w:pPr>
        <w:jc w:val="right"/>
        <w:rPr>
          <w:rFonts w:asciiTheme="majorBidi" w:hAnsiTheme="majorBidi" w:cstheme="majorBidi"/>
          <w:color w:val="333333"/>
          <w:shd w:val="clear" w:color="auto" w:fill="FFFFFF"/>
          <w:vertAlign w:val="superscript"/>
        </w:rPr>
      </w:pPr>
      <w:r w:rsidRPr="00665D71">
        <w:rPr>
          <w:rFonts w:asciiTheme="majorBidi" w:hAnsiTheme="majorBidi" w:cstheme="majorBidi"/>
          <w:color w:val="494949"/>
          <w:shd w:val="clear" w:color="auto" w:fill="FFFFFF"/>
          <w:vertAlign w:val="superscript"/>
        </w:rPr>
        <w:t>3</w:t>
      </w:r>
      <w:r w:rsidR="00665D71" w:rsidRPr="00665D71">
        <w:rPr>
          <w:rFonts w:asciiTheme="majorBidi" w:hAnsiTheme="majorBidi" w:cstheme="majorBidi"/>
          <w:color w:val="505050"/>
          <w:shd w:val="clear" w:color="auto" w:fill="FFFFFF"/>
        </w:rPr>
        <w:t xml:space="preserve"> Student Research Committee, Mazandaran University of Medical Sciences, Sari, Iran</w:t>
      </w:r>
    </w:p>
    <w:p w:rsidR="00A84A07" w:rsidRDefault="00E92A2F" w:rsidP="009A15C7">
      <w:pPr>
        <w:jc w:val="right"/>
        <w:rPr>
          <w:rFonts w:asciiTheme="majorBidi" w:hAnsiTheme="majorBidi" w:cstheme="majorBidi"/>
          <w:color w:val="333333"/>
          <w:shd w:val="clear" w:color="auto" w:fill="FFFFFF"/>
        </w:rPr>
      </w:pPr>
      <w:r w:rsidRPr="00665D71">
        <w:rPr>
          <w:rFonts w:asciiTheme="majorBidi" w:hAnsiTheme="majorBidi" w:cstheme="majorBidi"/>
          <w:color w:val="333333"/>
          <w:shd w:val="clear" w:color="auto" w:fill="FFFFFF"/>
          <w:vertAlign w:val="superscript"/>
        </w:rPr>
        <w:t>4</w:t>
      </w:r>
      <w:r w:rsidR="00636D69" w:rsidRPr="00665D71">
        <w:rPr>
          <w:rFonts w:asciiTheme="majorBidi" w:hAnsiTheme="majorBidi" w:cstheme="majorBidi"/>
          <w:color w:val="333333"/>
          <w:shd w:val="clear" w:color="auto" w:fill="FFFFFF"/>
        </w:rPr>
        <w:t xml:space="preserve"> Department of Biostatics and Epidemiology, School of Health, Mazandaran University of Medical Sciences, Sari, Iran</w:t>
      </w:r>
    </w:p>
    <w:p w:rsidR="00641381" w:rsidRPr="00641381" w:rsidRDefault="00641381" w:rsidP="00641381">
      <w:pPr>
        <w:jc w:val="right"/>
        <w:rPr>
          <w:rFonts w:asciiTheme="majorBidi" w:hAnsiTheme="majorBidi" w:cstheme="majorBidi"/>
          <w:color w:val="333333"/>
          <w:shd w:val="clear" w:color="auto" w:fill="FFFFFF"/>
        </w:rPr>
      </w:pPr>
      <w:r>
        <w:rPr>
          <w:rFonts w:asciiTheme="majorBidi" w:hAnsiTheme="majorBidi" w:cstheme="majorBidi"/>
          <w:color w:val="333333"/>
          <w:shd w:val="clear" w:color="auto" w:fill="FFFFFF"/>
          <w:vertAlign w:val="superscript"/>
        </w:rPr>
        <w:t xml:space="preserve">5 </w:t>
      </w:r>
      <w:r>
        <w:rPr>
          <w:rFonts w:asciiTheme="majorBidi" w:hAnsiTheme="majorBidi" w:cstheme="majorBidi"/>
          <w:color w:val="333333"/>
          <w:shd w:val="clear" w:color="auto" w:fill="FFFFFF"/>
        </w:rPr>
        <w:t>Diabetes Research Center, Institute of Herbal Medicines and Metabolic Disorders, Mazandaran University of Medical Sciences, Sari, Iran</w:t>
      </w:r>
    </w:p>
    <w:p w:rsidR="00A84A07" w:rsidRPr="00665D71" w:rsidRDefault="00641381" w:rsidP="009A15C7">
      <w:pPr>
        <w:jc w:val="right"/>
        <w:rPr>
          <w:rFonts w:asciiTheme="majorBidi" w:hAnsiTheme="majorBidi" w:cstheme="majorBidi"/>
          <w:color w:val="1D1D1D"/>
          <w:shd w:val="clear" w:color="auto" w:fill="FFFFFF"/>
        </w:rPr>
      </w:pPr>
      <w:r>
        <w:rPr>
          <w:rFonts w:asciiTheme="majorBidi" w:hAnsiTheme="majorBidi" w:cstheme="majorBidi"/>
          <w:color w:val="333333"/>
          <w:shd w:val="clear" w:color="auto" w:fill="FFFFFF"/>
          <w:vertAlign w:val="superscript"/>
        </w:rPr>
        <w:t>6</w:t>
      </w:r>
      <w:r w:rsidR="00A84A07" w:rsidRPr="00665D71">
        <w:rPr>
          <w:rFonts w:asciiTheme="majorBidi" w:hAnsiTheme="majorBidi" w:cstheme="majorBidi"/>
          <w:color w:val="333333"/>
          <w:shd w:val="clear" w:color="auto" w:fill="FFFFFF"/>
        </w:rPr>
        <w:t xml:space="preserve"> Non-</w:t>
      </w:r>
      <w:proofErr w:type="spellStart"/>
      <w:r w:rsidR="00A84A07" w:rsidRPr="00665D71">
        <w:rPr>
          <w:rFonts w:asciiTheme="majorBidi" w:hAnsiTheme="majorBidi" w:cstheme="majorBidi"/>
          <w:color w:val="333333"/>
          <w:shd w:val="clear" w:color="auto" w:fill="FFFFFF"/>
        </w:rPr>
        <w:t>Commnicable</w:t>
      </w:r>
      <w:proofErr w:type="spellEnd"/>
      <w:r w:rsidR="00A84A07" w:rsidRPr="00665D71">
        <w:rPr>
          <w:rFonts w:asciiTheme="majorBidi" w:hAnsiTheme="majorBidi" w:cstheme="majorBidi"/>
          <w:color w:val="333333"/>
          <w:shd w:val="clear" w:color="auto" w:fill="FFFFFF"/>
        </w:rPr>
        <w:t xml:space="preserve"> Diseases Institute, Mazandaran University of Medical Sciences</w:t>
      </w:r>
    </w:p>
    <w:p w:rsidR="009A15C7" w:rsidRDefault="00682AAD" w:rsidP="000E5CF3">
      <w:pPr>
        <w:bidi w:val="0"/>
        <w:rPr>
          <w:rFonts w:ascii="Bahnschrift" w:eastAsia="Times New Roman" w:hAnsi="Bahnschrift" w:cs="Times New Roman"/>
          <w:color w:val="505050"/>
          <w:sz w:val="24"/>
          <w:szCs w:val="24"/>
          <w:shd w:val="clear" w:color="auto" w:fill="FFFFFF"/>
          <w:lang w:bidi="ar-SA"/>
        </w:rPr>
      </w:pPr>
      <w:r w:rsidRPr="00682AAD">
        <w:rPr>
          <w:rFonts w:ascii="Bahnschrift" w:eastAsia="Times New Roman" w:hAnsi="Bahnschrift" w:cs="Times New Roman"/>
          <w:color w:val="505050"/>
          <w:sz w:val="25"/>
          <w:szCs w:val="25"/>
          <w:lang w:bidi="ar-SA"/>
        </w:rPr>
        <w:t> </w:t>
      </w:r>
      <w:r w:rsidRPr="00682AAD">
        <w:rPr>
          <w:rFonts w:ascii="Bahnschrift" w:eastAsia="Times New Roman" w:hAnsi="Bahnschrift" w:cs="Times New Roman"/>
          <w:color w:val="505050"/>
          <w:sz w:val="24"/>
          <w:szCs w:val="24"/>
          <w:shd w:val="clear" w:color="auto" w:fill="FFFFFF"/>
          <w:vertAlign w:val="superscript"/>
          <w:lang w:bidi="ar-SA"/>
        </w:rPr>
        <w:t>*</w:t>
      </w:r>
      <w:r w:rsidRPr="00682AAD">
        <w:rPr>
          <w:rFonts w:ascii="Bahnschrift" w:eastAsia="Times New Roman" w:hAnsi="Bahnschrift" w:cs="Times New Roman"/>
          <w:b/>
          <w:bCs/>
          <w:color w:val="505050"/>
          <w:sz w:val="25"/>
          <w:szCs w:val="25"/>
          <w:lang w:bidi="ar-SA"/>
        </w:rPr>
        <w:t>Correspondence</w:t>
      </w:r>
      <w:r w:rsidR="008A3A73">
        <w:rPr>
          <w:rFonts w:ascii="Bahnschrift" w:eastAsia="Times New Roman" w:hAnsi="Bahnschrift" w:cs="Times New Roman"/>
          <w:b/>
          <w:bCs/>
          <w:color w:val="505050"/>
          <w:sz w:val="25"/>
          <w:szCs w:val="25"/>
          <w:lang w:bidi="ar-SA"/>
        </w:rPr>
        <w:t>:</w:t>
      </w:r>
      <w:r>
        <w:rPr>
          <w:rFonts w:ascii="Helvetica" w:hAnsi="Helvetica" w:cs="Helvetica"/>
          <w:color w:val="1D1D1D"/>
          <w:sz w:val="20"/>
          <w:szCs w:val="20"/>
          <w:shd w:val="clear" w:color="auto" w:fill="FFFFFF"/>
        </w:rPr>
        <w:t xml:space="preserve"> </w:t>
      </w:r>
      <w:proofErr w:type="spellStart"/>
      <w:r>
        <w:rPr>
          <w:rFonts w:ascii="Helvetica" w:hAnsi="Helvetica" w:cs="Helvetica"/>
          <w:color w:val="1D1D1D"/>
          <w:sz w:val="20"/>
          <w:szCs w:val="20"/>
          <w:shd w:val="clear" w:color="auto" w:fill="FFFFFF"/>
        </w:rPr>
        <w:t>Sepideh</w:t>
      </w:r>
      <w:proofErr w:type="spellEnd"/>
      <w:r>
        <w:rPr>
          <w:rFonts w:ascii="Helvetica" w:hAnsi="Helvetica" w:cs="Helvetica"/>
          <w:color w:val="1D1D1D"/>
          <w:sz w:val="20"/>
          <w:szCs w:val="20"/>
          <w:shd w:val="clear" w:color="auto" w:fill="FFFFFF"/>
        </w:rPr>
        <w:t xml:space="preserve"> </w:t>
      </w:r>
      <w:proofErr w:type="spellStart"/>
      <w:r w:rsidR="008A3A73">
        <w:rPr>
          <w:rFonts w:ascii="Helvetica" w:hAnsi="Helvetica" w:cs="Helvetica"/>
          <w:color w:val="1D1D1D"/>
          <w:sz w:val="20"/>
          <w:szCs w:val="20"/>
          <w:shd w:val="clear" w:color="auto" w:fill="FFFFFF"/>
        </w:rPr>
        <w:t>Habibi</w:t>
      </w:r>
      <w:proofErr w:type="spellEnd"/>
      <w:r w:rsidR="008A3A73" w:rsidRPr="00682AAD">
        <w:rPr>
          <w:rFonts w:ascii="Bahnschrift" w:eastAsia="Times New Roman" w:hAnsi="Bahnschrift" w:cs="Times New Roman"/>
          <w:color w:val="505050"/>
          <w:sz w:val="24"/>
          <w:szCs w:val="24"/>
          <w:shd w:val="clear" w:color="auto" w:fill="FFFFFF"/>
          <w:vertAlign w:val="superscript"/>
          <w:lang w:bidi="ar-SA"/>
        </w:rPr>
        <w:t xml:space="preserve"> </w:t>
      </w:r>
      <w:r w:rsidR="008A3A73">
        <w:rPr>
          <w:rFonts w:ascii="Bahnschrift" w:eastAsia="Times New Roman" w:hAnsi="Bahnschrift" w:cs="Times New Roman"/>
          <w:color w:val="505050"/>
          <w:sz w:val="24"/>
          <w:szCs w:val="24"/>
          <w:shd w:val="clear" w:color="auto" w:fill="FFFFFF"/>
          <w:lang w:bidi="ar-SA"/>
        </w:rPr>
        <w:t xml:space="preserve">email: </w:t>
      </w:r>
      <w:hyperlink r:id="rId5" w:history="1">
        <w:r w:rsidR="000E5CF3" w:rsidRPr="00411866">
          <w:rPr>
            <w:rStyle w:val="Hyperlink"/>
            <w:rFonts w:asciiTheme="majorBidi" w:eastAsia="Times New Roman" w:hAnsiTheme="majorBidi" w:cstheme="majorBidi"/>
            <w:shd w:val="clear" w:color="auto" w:fill="FFFFFF"/>
            <w:lang w:bidi="ar-SA"/>
          </w:rPr>
          <w:t>sepide.hnn74@gmail.com</w:t>
        </w:r>
      </w:hyperlink>
    </w:p>
    <w:p w:rsidR="000E5CF3" w:rsidRDefault="000E5CF3" w:rsidP="000E5CF3">
      <w:pPr>
        <w:bidi w:val="0"/>
        <w:rPr>
          <w:rFonts w:ascii="Bahnschrift" w:eastAsia="Times New Roman" w:hAnsi="Bahnschrift" w:cs="Times New Roman"/>
          <w:color w:val="505050"/>
          <w:sz w:val="24"/>
          <w:szCs w:val="24"/>
          <w:shd w:val="clear" w:color="auto" w:fill="FFFFFF"/>
          <w:lang w:bidi="ar-SA"/>
        </w:rPr>
      </w:pPr>
    </w:p>
    <w:p w:rsidR="00641381" w:rsidRPr="000E5CF3" w:rsidRDefault="00641381" w:rsidP="00641381">
      <w:pPr>
        <w:bidi w:val="0"/>
        <w:rPr>
          <w:rFonts w:ascii="Bahnschrift" w:eastAsia="Times New Roman" w:hAnsi="Bahnschrift" w:cs="Times New Roman"/>
          <w:color w:val="505050"/>
          <w:sz w:val="24"/>
          <w:szCs w:val="24"/>
          <w:shd w:val="clear" w:color="auto" w:fill="FFFFFF"/>
          <w:lang w:bidi="ar-SA"/>
        </w:rPr>
      </w:pPr>
    </w:p>
    <w:p w:rsidR="000E5CF3" w:rsidRDefault="001507D1" w:rsidP="00E7489B">
      <w:pPr>
        <w:jc w:val="right"/>
        <w:rPr>
          <w:rFonts w:ascii="Helvetica" w:hAnsi="Helvetica" w:cs="Helvetica"/>
          <w:color w:val="1D1D1D"/>
          <w:sz w:val="20"/>
          <w:szCs w:val="20"/>
        </w:rPr>
      </w:pPr>
      <w:r w:rsidRPr="000E5CF3">
        <w:rPr>
          <w:rFonts w:asciiTheme="majorBidi" w:hAnsiTheme="majorBidi" w:cstheme="majorBidi"/>
          <w:b/>
          <w:bCs/>
          <w:color w:val="1D1D1D"/>
          <w:sz w:val="36"/>
          <w:szCs w:val="36"/>
          <w:shd w:val="clear" w:color="auto" w:fill="FFFFFF"/>
        </w:rPr>
        <w:t>Abstract</w:t>
      </w:r>
    </w:p>
    <w:p w:rsidR="00844F00" w:rsidRPr="00844F00" w:rsidRDefault="001507D1" w:rsidP="00844F00">
      <w:pPr>
        <w:bidi w:val="0"/>
        <w:rPr>
          <w:rFonts w:ascii="Helvetica" w:hAnsi="Helvetica" w:cs="Helvetica"/>
          <w:color w:val="1D1D1D"/>
          <w:sz w:val="20"/>
          <w:szCs w:val="20"/>
          <w:shd w:val="clear" w:color="auto" w:fill="FFFFFF"/>
        </w:rPr>
      </w:pPr>
      <w:r>
        <w:rPr>
          <w:rFonts w:ascii="Helvetica" w:hAnsi="Helvetica" w:cs="Helvetica"/>
          <w:color w:val="1D1D1D"/>
          <w:sz w:val="20"/>
          <w:szCs w:val="20"/>
        </w:rPr>
        <w:br/>
      </w:r>
      <w:r w:rsidR="00844F00" w:rsidRPr="00844F00">
        <w:rPr>
          <w:rFonts w:ascii="Helvetica" w:hAnsi="Helvetica" w:cs="Helvetica"/>
          <w:color w:val="1D1D1D"/>
          <w:sz w:val="20"/>
          <w:szCs w:val="20"/>
          <w:shd w:val="clear" w:color="auto" w:fill="FFFFFF"/>
        </w:rPr>
        <w:t xml:space="preserve">The cornerstone of current treatment for the pulmonary </w:t>
      </w:r>
      <w:r w:rsidR="00641381">
        <w:rPr>
          <w:rFonts w:ascii="Helvetica" w:hAnsi="Helvetica" w:cs="Helvetica"/>
          <w:color w:val="1D1D1D"/>
          <w:sz w:val="20"/>
          <w:szCs w:val="20"/>
          <w:shd w:val="clear" w:color="auto" w:fill="FFFFFF"/>
        </w:rPr>
        <w:t xml:space="preserve">and critical </w:t>
      </w:r>
      <w:r w:rsidR="00844F00" w:rsidRPr="00844F00">
        <w:rPr>
          <w:rFonts w:ascii="Helvetica" w:hAnsi="Helvetica" w:cs="Helvetica"/>
          <w:color w:val="1D1D1D"/>
          <w:sz w:val="20"/>
          <w:szCs w:val="20"/>
          <w:shd w:val="clear" w:color="auto" w:fill="FFFFFF"/>
        </w:rPr>
        <w:t>phase</w:t>
      </w:r>
      <w:r w:rsidR="00641381">
        <w:rPr>
          <w:rFonts w:ascii="Helvetica" w:hAnsi="Helvetica" w:cs="Helvetica"/>
          <w:color w:val="1D1D1D"/>
          <w:sz w:val="20"/>
          <w:szCs w:val="20"/>
          <w:shd w:val="clear" w:color="auto" w:fill="FFFFFF"/>
        </w:rPr>
        <w:t>s</w:t>
      </w:r>
      <w:r w:rsidR="00844F00" w:rsidRPr="00844F00">
        <w:rPr>
          <w:rFonts w:ascii="Helvetica" w:hAnsi="Helvetica" w:cs="Helvetica"/>
          <w:color w:val="1D1D1D"/>
          <w:sz w:val="20"/>
          <w:szCs w:val="20"/>
          <w:shd w:val="clear" w:color="auto" w:fill="FFFFFF"/>
        </w:rPr>
        <w:t xml:space="preserve"> of COVID-19</w:t>
      </w:r>
      <w:r w:rsidR="00641381">
        <w:rPr>
          <w:rFonts w:ascii="Helvetica" w:hAnsi="Helvetica" w:cs="Helvetica"/>
          <w:color w:val="1D1D1D"/>
          <w:sz w:val="20"/>
          <w:szCs w:val="20"/>
          <w:shd w:val="clear" w:color="auto" w:fill="FFFFFF"/>
        </w:rPr>
        <w:t xml:space="preserve"> infection</w:t>
      </w:r>
      <w:r w:rsidR="00844F00" w:rsidRPr="00844F00">
        <w:rPr>
          <w:rFonts w:ascii="Helvetica" w:hAnsi="Helvetica" w:cs="Helvetica"/>
          <w:color w:val="1D1D1D"/>
          <w:sz w:val="20"/>
          <w:szCs w:val="20"/>
          <w:shd w:val="clear" w:color="auto" w:fill="FFFFFF"/>
        </w:rPr>
        <w:t xml:space="preserve"> is anti-inflammatory therapy to mitigate the inflammatory response caused by SARS-CoV-2. This study aimed to compare the effects of a standard dose versus a high and a CRP-titrated dose of corticosteroids on the clinical course and outcomes in COVID-19 patients admitted to Sari Imam Hospital</w:t>
      </w:r>
      <w:r w:rsidR="00844F00" w:rsidRPr="00844F00">
        <w:rPr>
          <w:rFonts w:ascii="Helvetica" w:hAnsi="Helvetica" w:cs="Helvetica"/>
          <w:color w:val="1D1D1D"/>
          <w:sz w:val="20"/>
          <w:szCs w:val="20"/>
          <w:shd w:val="clear" w:color="auto" w:fill="FFFFFF"/>
          <w:rtl/>
        </w:rPr>
        <w:t>.</w:t>
      </w:r>
    </w:p>
    <w:p w:rsidR="00844F00" w:rsidRPr="00844F00" w:rsidRDefault="00844F00" w:rsidP="00844F00">
      <w:pPr>
        <w:bidi w:val="0"/>
        <w:rPr>
          <w:rFonts w:ascii="Helvetica" w:hAnsi="Helvetica" w:cs="Helvetica"/>
          <w:color w:val="1D1D1D"/>
          <w:sz w:val="20"/>
          <w:szCs w:val="20"/>
          <w:shd w:val="clear" w:color="auto" w:fill="FFFFFF"/>
          <w:rtl/>
        </w:rPr>
      </w:pPr>
    </w:p>
    <w:p w:rsidR="00844F00" w:rsidRPr="00844F00" w:rsidRDefault="00844F00" w:rsidP="00844F00">
      <w:pPr>
        <w:bidi w:val="0"/>
        <w:rPr>
          <w:rFonts w:ascii="Helvetica" w:hAnsi="Helvetica" w:cs="Helvetica"/>
          <w:color w:val="1D1D1D"/>
          <w:sz w:val="20"/>
          <w:szCs w:val="20"/>
          <w:shd w:val="clear" w:color="auto" w:fill="FFFFFF"/>
        </w:rPr>
      </w:pPr>
      <w:r w:rsidRPr="00844F00">
        <w:rPr>
          <w:rFonts w:ascii="Helvetica" w:hAnsi="Helvetica" w:cs="Helvetica"/>
          <w:color w:val="1D1D1D"/>
          <w:sz w:val="20"/>
          <w:szCs w:val="20"/>
          <w:shd w:val="clear" w:color="auto" w:fill="FFFFFF"/>
        </w:rPr>
        <w:t>Method</w:t>
      </w:r>
      <w:r w:rsidRPr="00844F00">
        <w:rPr>
          <w:rFonts w:ascii="Helvetica" w:hAnsi="Helvetica" w:cs="Helvetica"/>
          <w:color w:val="1D1D1D"/>
          <w:sz w:val="20"/>
          <w:szCs w:val="20"/>
          <w:shd w:val="clear" w:color="auto" w:fill="FFFFFF"/>
          <w:rtl/>
        </w:rPr>
        <w:t xml:space="preserve">: </w:t>
      </w:r>
    </w:p>
    <w:p w:rsidR="00844F00" w:rsidRPr="00844F00" w:rsidRDefault="00844F00" w:rsidP="00844F00">
      <w:pPr>
        <w:bidi w:val="0"/>
        <w:rPr>
          <w:rFonts w:ascii="Helvetica" w:hAnsi="Helvetica" w:cs="Helvetica"/>
          <w:color w:val="1D1D1D"/>
          <w:sz w:val="20"/>
          <w:szCs w:val="20"/>
          <w:shd w:val="clear" w:color="auto" w:fill="FFFFFF"/>
        </w:rPr>
      </w:pPr>
      <w:r w:rsidRPr="00844F00">
        <w:rPr>
          <w:rFonts w:ascii="Helvetica" w:hAnsi="Helvetica" w:cs="Helvetica"/>
          <w:color w:val="1D1D1D"/>
          <w:sz w:val="20"/>
          <w:szCs w:val="20"/>
          <w:shd w:val="clear" w:color="auto" w:fill="FFFFFF"/>
        </w:rPr>
        <w:t xml:space="preserve">This was a single-center, retrospective observational study. Hospitalized patients with a final diagnosis of COVID-19 </w:t>
      </w:r>
      <w:r w:rsidR="00641381">
        <w:rPr>
          <w:rFonts w:ascii="Helvetica" w:hAnsi="Helvetica" w:cs="Helvetica"/>
          <w:color w:val="1D1D1D"/>
          <w:sz w:val="20"/>
          <w:szCs w:val="20"/>
          <w:shd w:val="clear" w:color="auto" w:fill="FFFFFF"/>
        </w:rPr>
        <w:t xml:space="preserve">infection, </w:t>
      </w:r>
      <w:r w:rsidRPr="00844F00">
        <w:rPr>
          <w:rFonts w:ascii="Helvetica" w:hAnsi="Helvetica" w:cs="Helvetica"/>
          <w:color w:val="1D1D1D"/>
          <w:sz w:val="20"/>
          <w:szCs w:val="20"/>
          <w:shd w:val="clear" w:color="auto" w:fill="FFFFFF"/>
        </w:rPr>
        <w:t>were selected for investigation if they received steroids during hospitalization. Considering the prescribed steroid doses, patients were classified into three groups: standard dose (209 patients: 69.7%), high dos</w:t>
      </w:r>
      <w:r w:rsidR="00641381">
        <w:rPr>
          <w:rFonts w:ascii="Helvetica" w:hAnsi="Helvetica" w:cs="Helvetica"/>
          <w:color w:val="1D1D1D"/>
          <w:sz w:val="20"/>
          <w:szCs w:val="20"/>
          <w:shd w:val="clear" w:color="auto" w:fill="FFFFFF"/>
        </w:rPr>
        <w:t>e (25 patients: 8.3 %), and CRP-</w:t>
      </w:r>
      <w:bookmarkStart w:id="0" w:name="_GoBack"/>
      <w:bookmarkEnd w:id="0"/>
      <w:r w:rsidRPr="00844F00">
        <w:rPr>
          <w:rFonts w:ascii="Helvetica" w:hAnsi="Helvetica" w:cs="Helvetica"/>
          <w:color w:val="1D1D1D"/>
          <w:sz w:val="20"/>
          <w:szCs w:val="20"/>
          <w:shd w:val="clear" w:color="auto" w:fill="FFFFFF"/>
        </w:rPr>
        <w:t>titrated dose (66 patients: 22 %). The primary endpoint was the comparison of mortality and length of hospital stay between patients in the three groups. Secondary endpoints included (1) a composite variable of the need for mechanical ventilation, death, and (2) the development of ARDS, according to the Berlin definition</w:t>
      </w:r>
      <w:r w:rsidRPr="00844F00">
        <w:rPr>
          <w:rFonts w:ascii="Helvetica" w:hAnsi="Helvetica" w:cs="Helvetica"/>
          <w:color w:val="1D1D1D"/>
          <w:sz w:val="20"/>
          <w:szCs w:val="20"/>
          <w:shd w:val="clear" w:color="auto" w:fill="FFFFFF"/>
          <w:rtl/>
        </w:rPr>
        <w:t>.</w:t>
      </w:r>
    </w:p>
    <w:p w:rsidR="00844F00" w:rsidRPr="00844F00" w:rsidRDefault="00844F00" w:rsidP="00844F00">
      <w:pPr>
        <w:bidi w:val="0"/>
        <w:rPr>
          <w:rFonts w:ascii="Helvetica" w:hAnsi="Helvetica" w:cs="Helvetica"/>
          <w:color w:val="1D1D1D"/>
          <w:sz w:val="20"/>
          <w:szCs w:val="20"/>
          <w:shd w:val="clear" w:color="auto" w:fill="FFFFFF"/>
          <w:rtl/>
        </w:rPr>
      </w:pPr>
    </w:p>
    <w:p w:rsidR="00844F00" w:rsidRPr="00844F00" w:rsidRDefault="00844F00" w:rsidP="00844F00">
      <w:pPr>
        <w:bidi w:val="0"/>
        <w:rPr>
          <w:rFonts w:ascii="Helvetica" w:hAnsi="Helvetica" w:cs="Helvetica"/>
          <w:color w:val="1D1D1D"/>
          <w:sz w:val="20"/>
          <w:szCs w:val="20"/>
          <w:shd w:val="clear" w:color="auto" w:fill="FFFFFF"/>
        </w:rPr>
      </w:pPr>
      <w:r w:rsidRPr="00844F00">
        <w:rPr>
          <w:rFonts w:ascii="Helvetica" w:hAnsi="Helvetica" w:cs="Helvetica"/>
          <w:color w:val="1D1D1D"/>
          <w:sz w:val="20"/>
          <w:szCs w:val="20"/>
          <w:shd w:val="clear" w:color="auto" w:fill="FFFFFF"/>
        </w:rPr>
        <w:lastRenderedPageBreak/>
        <w:t>Results</w:t>
      </w:r>
      <w:r w:rsidRPr="00844F00">
        <w:rPr>
          <w:rFonts w:ascii="Helvetica" w:hAnsi="Helvetica" w:cs="Helvetica"/>
          <w:color w:val="1D1D1D"/>
          <w:sz w:val="20"/>
          <w:szCs w:val="20"/>
          <w:shd w:val="clear" w:color="auto" w:fill="FFFFFF"/>
          <w:rtl/>
        </w:rPr>
        <w:t>:  </w:t>
      </w:r>
    </w:p>
    <w:p w:rsidR="00844F00" w:rsidRPr="00844F00" w:rsidRDefault="00844F00" w:rsidP="00844F00">
      <w:pPr>
        <w:bidi w:val="0"/>
        <w:rPr>
          <w:rFonts w:ascii="Helvetica" w:hAnsi="Helvetica" w:cs="Helvetica"/>
          <w:color w:val="1D1D1D"/>
          <w:sz w:val="20"/>
          <w:szCs w:val="20"/>
          <w:shd w:val="clear" w:color="auto" w:fill="FFFFFF"/>
          <w:rtl/>
        </w:rPr>
      </w:pPr>
      <w:r w:rsidRPr="00844F00">
        <w:rPr>
          <w:rFonts w:ascii="Helvetica" w:hAnsi="Helvetica" w:cs="Helvetica"/>
          <w:color w:val="1D1D1D"/>
          <w:sz w:val="20"/>
          <w:szCs w:val="20"/>
          <w:shd w:val="clear" w:color="auto" w:fill="FFFFFF"/>
        </w:rPr>
        <w:t xml:space="preserve">The mortality rate in the groups receiving CRP-titrated (15.2%) and high doses of corticosteroids (12%) was significantly higher than the group receiving standard dose (6.7%), which could be attributed to the increased severity of the disease in these two groups (p-value: 0.001). The need for ICU admission (28.8% in CRP-titrated dose and 28% in high dose groups versus 9.6 % in standard dose group) and the LOS, although in the groups receiving CRP-titrated and high doses of corticosteroids, were significantly higher than those of the group receiving standard doses, the difference between the two groups was not statistically significant. Although the trend for the need for mechanical </w:t>
      </w:r>
      <w:proofErr w:type="spellStart"/>
      <w:r w:rsidRPr="00844F00">
        <w:rPr>
          <w:rFonts w:ascii="Helvetica" w:hAnsi="Helvetica" w:cs="Helvetica"/>
          <w:color w:val="1D1D1D"/>
          <w:sz w:val="20"/>
          <w:szCs w:val="20"/>
          <w:shd w:val="clear" w:color="auto" w:fill="FFFFFF"/>
        </w:rPr>
        <w:t>ventilatory</w:t>
      </w:r>
      <w:proofErr w:type="spellEnd"/>
      <w:r w:rsidRPr="00844F00">
        <w:rPr>
          <w:rFonts w:ascii="Helvetica" w:hAnsi="Helvetica" w:cs="Helvetica"/>
          <w:color w:val="1D1D1D"/>
          <w:sz w:val="20"/>
          <w:szCs w:val="20"/>
          <w:shd w:val="clear" w:color="auto" w:fill="FFFFFF"/>
        </w:rPr>
        <w:t xml:space="preserve"> support was higher in the group receiving CRP-titrated dose compared to the high dose group (18.2 % in CRP-titrated dose versus 12% in high-dose group), the need for non-invasive </w:t>
      </w:r>
      <w:proofErr w:type="spellStart"/>
      <w:r w:rsidRPr="00844F00">
        <w:rPr>
          <w:rFonts w:ascii="Helvetica" w:hAnsi="Helvetica" w:cs="Helvetica"/>
          <w:color w:val="1D1D1D"/>
          <w:sz w:val="20"/>
          <w:szCs w:val="20"/>
          <w:shd w:val="clear" w:color="auto" w:fill="FFFFFF"/>
        </w:rPr>
        <w:t>ventilatory</w:t>
      </w:r>
      <w:proofErr w:type="spellEnd"/>
      <w:r w:rsidRPr="00844F00">
        <w:rPr>
          <w:rFonts w:ascii="Helvetica" w:hAnsi="Helvetica" w:cs="Helvetica"/>
          <w:color w:val="1D1D1D"/>
          <w:sz w:val="20"/>
          <w:szCs w:val="20"/>
          <w:shd w:val="clear" w:color="auto" w:fill="FFFFFF"/>
        </w:rPr>
        <w:t xml:space="preserve"> support was significantly lower in the CRP-titrated dose group compared to the high dose group(72.7 % versus 80%, p-value: 0.006)</w:t>
      </w:r>
      <w:r w:rsidRPr="00844F00">
        <w:rPr>
          <w:rFonts w:ascii="Helvetica" w:hAnsi="Helvetica" w:cs="Helvetica"/>
          <w:color w:val="1D1D1D"/>
          <w:sz w:val="20"/>
          <w:szCs w:val="20"/>
          <w:shd w:val="clear" w:color="auto" w:fill="FFFFFF"/>
          <w:rtl/>
        </w:rPr>
        <w:t>.</w:t>
      </w:r>
    </w:p>
    <w:p w:rsidR="00844F00" w:rsidRPr="00844F00" w:rsidRDefault="00844F00" w:rsidP="00844F00">
      <w:pPr>
        <w:bidi w:val="0"/>
        <w:rPr>
          <w:rFonts w:ascii="Helvetica" w:hAnsi="Helvetica" w:cs="Helvetica"/>
          <w:color w:val="1D1D1D"/>
          <w:sz w:val="20"/>
          <w:szCs w:val="20"/>
          <w:shd w:val="clear" w:color="auto" w:fill="FFFFFF"/>
          <w:rtl/>
        </w:rPr>
      </w:pPr>
    </w:p>
    <w:p w:rsidR="00BC741A" w:rsidRDefault="00844F00" w:rsidP="00641381">
      <w:pPr>
        <w:bidi w:val="0"/>
        <w:rPr>
          <w:rFonts w:ascii="Helvetica" w:hAnsi="Helvetica" w:cs="Helvetica"/>
          <w:color w:val="1D1D1D"/>
          <w:sz w:val="20"/>
          <w:szCs w:val="20"/>
          <w:shd w:val="clear" w:color="auto" w:fill="FFFFFF"/>
        </w:rPr>
      </w:pPr>
      <w:r w:rsidRPr="00844F00">
        <w:rPr>
          <w:rFonts w:ascii="Helvetica" w:hAnsi="Helvetica" w:cs="Helvetica"/>
          <w:color w:val="1D1D1D"/>
          <w:sz w:val="20"/>
          <w:szCs w:val="20"/>
          <w:shd w:val="clear" w:color="auto" w:fill="FFFFFF"/>
        </w:rPr>
        <w:t xml:space="preserve">Conclusion: These findings demonstrate that a CRP-titrated dose of corticosteroid may be considered in comparison to a high dose of steroid in selective patients of severe and critical stage COVID-19 infection with less total corticosteroid administration yet probably the same </w:t>
      </w:r>
      <w:r w:rsidR="00641381">
        <w:rPr>
          <w:rFonts w:ascii="Helvetica" w:hAnsi="Helvetica" w:cs="Helvetica"/>
          <w:color w:val="1D1D1D"/>
          <w:sz w:val="20"/>
          <w:szCs w:val="20"/>
          <w:shd w:val="clear" w:color="auto" w:fill="FFFFFF"/>
        </w:rPr>
        <w:t>therapeutic benefit and less adverse effects</w:t>
      </w:r>
      <w:r w:rsidRPr="00844F00">
        <w:rPr>
          <w:rFonts w:ascii="Helvetica" w:hAnsi="Helvetica" w:cs="Helvetica"/>
          <w:color w:val="1D1D1D"/>
          <w:sz w:val="20"/>
          <w:szCs w:val="20"/>
          <w:shd w:val="clear" w:color="auto" w:fill="FFFFFF"/>
        </w:rPr>
        <w:t>. Conducting studies with a larger sample size to thoroughly investigate the outcomes of patients treated with CRP-titrated and high doses of corticosteroids in severe and critical COVID-19 patients is recommended</w:t>
      </w:r>
      <w:r w:rsidRPr="00844F00">
        <w:rPr>
          <w:rFonts w:ascii="Helvetica" w:hAnsi="Helvetica" w:cs="Helvetica"/>
          <w:color w:val="1D1D1D"/>
          <w:sz w:val="20"/>
          <w:szCs w:val="20"/>
          <w:shd w:val="clear" w:color="auto" w:fill="FFFFFF"/>
          <w:rtl/>
        </w:rPr>
        <w:t>.</w:t>
      </w:r>
      <w:r w:rsidR="001507D1">
        <w:rPr>
          <w:rFonts w:ascii="Helvetica" w:hAnsi="Helvetica" w:cs="Helvetica"/>
          <w:color w:val="1D1D1D"/>
          <w:sz w:val="20"/>
          <w:szCs w:val="20"/>
        </w:rPr>
        <w:br/>
      </w:r>
      <w:r w:rsidR="001507D1">
        <w:rPr>
          <w:rFonts w:ascii="Helvetica" w:hAnsi="Helvetica" w:cs="Helvetica"/>
          <w:color w:val="1D1D1D"/>
          <w:sz w:val="20"/>
          <w:szCs w:val="20"/>
        </w:rPr>
        <w:br/>
      </w:r>
      <w:r w:rsidR="001507D1">
        <w:rPr>
          <w:rFonts w:ascii="Helvetica" w:hAnsi="Helvetica" w:cs="Helvetica"/>
          <w:color w:val="1D1D1D"/>
          <w:sz w:val="20"/>
          <w:szCs w:val="20"/>
          <w:shd w:val="clear" w:color="auto" w:fill="FFFFFF"/>
        </w:rPr>
        <w:t>Keywords: COVID-19, corticosteroid, CRP</w:t>
      </w:r>
      <w:r w:rsidR="008A3A73">
        <w:rPr>
          <w:rFonts w:ascii="Helvetica" w:hAnsi="Helvetica" w:cs="Helvetica"/>
          <w:color w:val="1D1D1D"/>
          <w:sz w:val="20"/>
          <w:szCs w:val="20"/>
          <w:shd w:val="clear" w:color="auto" w:fill="FFFFFF"/>
        </w:rPr>
        <w:t>, inflammation</w:t>
      </w:r>
    </w:p>
    <w:p w:rsidR="00967DBE" w:rsidRDefault="00967DBE" w:rsidP="00D5217C">
      <w:pPr>
        <w:jc w:val="right"/>
        <w:rPr>
          <w:rFonts w:ascii="Helvetica" w:hAnsi="Helvetica" w:cs="Helvetica"/>
          <w:color w:val="1D1D1D"/>
          <w:sz w:val="20"/>
          <w:szCs w:val="20"/>
          <w:shd w:val="clear" w:color="auto" w:fill="FFFFFF"/>
        </w:rPr>
      </w:pPr>
      <w:r>
        <w:rPr>
          <w:rFonts w:ascii="Helvetica" w:hAnsi="Helvetica" w:cs="Helvetica"/>
          <w:color w:val="1D1D1D"/>
          <w:sz w:val="20"/>
          <w:szCs w:val="20"/>
          <w:shd w:val="clear" w:color="auto" w:fill="FFFFFF"/>
        </w:rPr>
        <w:t>References:</w:t>
      </w:r>
    </w:p>
    <w:p w:rsidR="00967DBE" w:rsidRPr="00967DBE" w:rsidRDefault="00967DBE" w:rsidP="00967DBE">
      <w:pPr>
        <w:pStyle w:val="ListParagraph"/>
        <w:numPr>
          <w:ilvl w:val="0"/>
          <w:numId w:val="1"/>
        </w:numPr>
        <w:bidi w:val="0"/>
        <w:spacing w:before="240" w:after="0" w:line="360" w:lineRule="auto"/>
        <w:jc w:val="both"/>
        <w:rPr>
          <w:rFonts w:ascii="Times New Roman" w:eastAsiaTheme="minorEastAsia" w:hAnsi="Times New Roman" w:cs="Times New Roman"/>
          <w:noProof/>
          <w:sz w:val="20"/>
          <w:szCs w:val="20"/>
        </w:rPr>
      </w:pPr>
      <w:bookmarkStart w:id="1" w:name="_ENREF_1"/>
      <w:r w:rsidRPr="00967DBE">
        <w:rPr>
          <w:rFonts w:ascii="Times New Roman" w:eastAsiaTheme="minorEastAsia" w:hAnsi="Times New Roman" w:cs="Times New Roman"/>
          <w:noProof/>
          <w:sz w:val="20"/>
          <w:szCs w:val="20"/>
        </w:rPr>
        <w:t>Monreal E, de la Maza SS, Natera-Villalba E, Beltrán-Corbellini Á, Rodríguez-Jorge F, Fernández-Velasco JI, et al. High versus standard doses of corticosteroids in severe COVID-19: a retrospective cohort study. European Journal of Clinical Microbiology &amp; Infectious Diseases. 2021;40(4):761-9.</w:t>
      </w:r>
      <w:bookmarkEnd w:id="1"/>
    </w:p>
    <w:p w:rsidR="00967DBE" w:rsidRPr="00967DBE" w:rsidRDefault="00967DBE" w:rsidP="00967DBE">
      <w:pPr>
        <w:pStyle w:val="ListParagraph"/>
        <w:numPr>
          <w:ilvl w:val="0"/>
          <w:numId w:val="1"/>
        </w:numPr>
        <w:bidi w:val="0"/>
        <w:spacing w:before="240" w:after="0" w:line="360" w:lineRule="auto"/>
        <w:jc w:val="both"/>
        <w:rPr>
          <w:rFonts w:ascii="Times New Roman" w:eastAsiaTheme="minorEastAsia" w:hAnsi="Times New Roman" w:cs="Times New Roman"/>
          <w:noProof/>
          <w:sz w:val="20"/>
          <w:szCs w:val="20"/>
        </w:rPr>
      </w:pPr>
      <w:r w:rsidRPr="00967DBE">
        <w:rPr>
          <w:rFonts w:ascii="Times New Roman" w:eastAsiaTheme="minorEastAsia" w:hAnsi="Times New Roman" w:cs="Times New Roman"/>
          <w:noProof/>
          <w:sz w:val="20"/>
          <w:szCs w:val="20"/>
        </w:rPr>
        <w:t>Southern W. Early and Significant Reduction in C-Reactive Protein Levels After Corticosteroid Therapy Is Associated With Reduced Mortality in Patients With COVID-19. Journal of hospital medicine. 2021;16(3).</w:t>
      </w:r>
    </w:p>
    <w:p w:rsidR="00967DBE" w:rsidRPr="00967DBE" w:rsidRDefault="00967DBE" w:rsidP="00967DBE">
      <w:pPr>
        <w:pStyle w:val="ListParagraph"/>
        <w:numPr>
          <w:ilvl w:val="0"/>
          <w:numId w:val="1"/>
        </w:numPr>
        <w:bidi w:val="0"/>
        <w:spacing w:before="240" w:after="0" w:line="360" w:lineRule="auto"/>
        <w:jc w:val="both"/>
        <w:rPr>
          <w:rFonts w:ascii="Times New Roman" w:eastAsiaTheme="minorEastAsia" w:hAnsi="Times New Roman" w:cs="Times New Roman"/>
          <w:noProof/>
          <w:sz w:val="20"/>
          <w:szCs w:val="20"/>
        </w:rPr>
      </w:pPr>
      <w:r w:rsidRPr="00967DBE">
        <w:rPr>
          <w:rFonts w:ascii="Times New Roman" w:eastAsiaTheme="minorEastAsia" w:hAnsi="Times New Roman" w:cs="Times New Roman"/>
          <w:noProof/>
          <w:sz w:val="20"/>
          <w:szCs w:val="20"/>
        </w:rPr>
        <w:t>Zhang W, Zhao Y, Zhang F, Wang Q, Li T, Liu Z, et al. The use of anti-inflammatory drugs in the treatment of people with severe coronavirus disease 2019 (COVID-19): The Perspectives of clinical immunologists from China. Clinical Immunology. 2020;214:108393.</w:t>
      </w:r>
    </w:p>
    <w:p w:rsidR="00967DBE" w:rsidRPr="00967DBE" w:rsidRDefault="00967DBE" w:rsidP="00967DBE">
      <w:pPr>
        <w:pStyle w:val="ListParagraph"/>
        <w:numPr>
          <w:ilvl w:val="0"/>
          <w:numId w:val="1"/>
        </w:numPr>
        <w:bidi w:val="0"/>
        <w:spacing w:before="240" w:after="0" w:line="360" w:lineRule="auto"/>
        <w:jc w:val="both"/>
        <w:rPr>
          <w:rFonts w:ascii="Times New Roman" w:eastAsiaTheme="minorEastAsia" w:hAnsi="Times New Roman" w:cs="Times New Roman"/>
          <w:noProof/>
          <w:sz w:val="20"/>
          <w:szCs w:val="20"/>
        </w:rPr>
      </w:pPr>
      <w:r w:rsidRPr="00967DBE">
        <w:rPr>
          <w:rFonts w:ascii="Times New Roman" w:eastAsiaTheme="minorEastAsia" w:hAnsi="Times New Roman" w:cs="Times New Roman"/>
          <w:noProof/>
          <w:sz w:val="20"/>
          <w:szCs w:val="20"/>
        </w:rPr>
        <w:t>López Zúñiga MÁ, Moreno-Moral A, Ocaña-Granados A, Padilla-Moreno FA, Castillo-Fernández AM, Guillamón-Fernández D, et al. High-dose corticosteroid pulse therapy increases the survival rate in COVID-19 patients at risk of hyper-inflammatory response. PloS one. 2021;16(1):e0243964.</w:t>
      </w:r>
    </w:p>
    <w:p w:rsidR="00967DBE" w:rsidRPr="00967DBE" w:rsidRDefault="00967DBE" w:rsidP="00967DBE">
      <w:pPr>
        <w:pStyle w:val="ListParagraph"/>
        <w:numPr>
          <w:ilvl w:val="0"/>
          <w:numId w:val="1"/>
        </w:numPr>
        <w:bidi w:val="0"/>
        <w:spacing w:before="240" w:after="0" w:line="360" w:lineRule="auto"/>
        <w:jc w:val="both"/>
        <w:rPr>
          <w:rFonts w:ascii="Times New Roman" w:eastAsiaTheme="minorEastAsia" w:hAnsi="Times New Roman" w:cs="Times New Roman"/>
          <w:noProof/>
          <w:sz w:val="20"/>
          <w:szCs w:val="20"/>
        </w:rPr>
      </w:pPr>
      <w:r w:rsidRPr="00967DBE">
        <w:rPr>
          <w:rFonts w:ascii="Times New Roman" w:eastAsiaTheme="minorEastAsia" w:hAnsi="Times New Roman" w:cs="Times New Roman"/>
          <w:noProof/>
          <w:sz w:val="20"/>
          <w:szCs w:val="20"/>
        </w:rPr>
        <w:t>McElvaney OJ, McEvoy NL, McElvaney OF, Carroll TP, Murphy MP, Dunlea DM, et al. Characterization of the inflammatory response to severe COVID-19 illness. American journal of respiratory and critical care medicine. 2020;202(6):812-21.</w:t>
      </w:r>
    </w:p>
    <w:sectPr w:rsidR="00967DBE" w:rsidRPr="0096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ahnschrift">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C6B07"/>
    <w:multiLevelType w:val="hybridMultilevel"/>
    <w:tmpl w:val="E9027352"/>
    <w:lvl w:ilvl="0" w:tplc="490A878E">
      <w:start w:val="1"/>
      <w:numFmt w:val="decimal"/>
      <w:lvlText w:val="%1."/>
      <w:lvlJc w:val="left"/>
      <w:pPr>
        <w:ind w:left="1080" w:hanging="72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D1"/>
    <w:rsid w:val="000E5CF3"/>
    <w:rsid w:val="001507D1"/>
    <w:rsid w:val="005D0CA0"/>
    <w:rsid w:val="00625089"/>
    <w:rsid w:val="00636D69"/>
    <w:rsid w:val="00641381"/>
    <w:rsid w:val="00665D71"/>
    <w:rsid w:val="00682AAD"/>
    <w:rsid w:val="007B7FEA"/>
    <w:rsid w:val="00817589"/>
    <w:rsid w:val="00844F00"/>
    <w:rsid w:val="008A3A73"/>
    <w:rsid w:val="00967DBE"/>
    <w:rsid w:val="009A15C7"/>
    <w:rsid w:val="00A02600"/>
    <w:rsid w:val="00A84A07"/>
    <w:rsid w:val="00BC741A"/>
    <w:rsid w:val="00D5217C"/>
    <w:rsid w:val="00E7489B"/>
    <w:rsid w:val="00E92A2F"/>
    <w:rsid w:val="00F03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1BF6D-6702-4472-A782-68F37243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5C7"/>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CF3"/>
    <w:rPr>
      <w:color w:val="0563C1" w:themeColor="hyperlink"/>
      <w:u w:val="single"/>
    </w:rPr>
  </w:style>
  <w:style w:type="paragraph" w:styleId="ListParagraph">
    <w:name w:val="List Paragraph"/>
    <w:basedOn w:val="Normal"/>
    <w:uiPriority w:val="34"/>
    <w:qFormat/>
    <w:rsid w:val="00967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pide.hnn7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26</cp:revision>
  <dcterms:created xsi:type="dcterms:W3CDTF">2025-08-31T16:49:00Z</dcterms:created>
  <dcterms:modified xsi:type="dcterms:W3CDTF">2025-09-03T17:02:00Z</dcterms:modified>
</cp:coreProperties>
</file>