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0" w:lineRule="auto"/>
      </w:pPr>
      <w:r>
        <w:rPr/>
        <w:t>Prevalence</w:t>
      </w:r>
      <w:r>
        <w:rPr>
          <w:spacing w:val="-5"/>
        </w:rPr>
        <w:t> </w:t>
      </w:r>
      <w:r>
        <w:rPr/>
        <w:t>and</w:t>
      </w:r>
      <w:r>
        <w:rPr>
          <w:spacing w:val="-5"/>
        </w:rPr>
        <w:t> </w:t>
      </w:r>
      <w:r>
        <w:rPr/>
        <w:t>Echocardiographic</w:t>
      </w:r>
      <w:r>
        <w:rPr>
          <w:spacing w:val="-5"/>
        </w:rPr>
        <w:t> </w:t>
      </w:r>
      <w:r>
        <w:rPr/>
        <w:t>Patterns</w:t>
      </w:r>
      <w:r>
        <w:rPr>
          <w:spacing w:val="-7"/>
        </w:rPr>
        <w:t> </w:t>
      </w:r>
      <w:r>
        <w:rPr/>
        <w:t>of</w:t>
      </w:r>
      <w:r>
        <w:rPr>
          <w:spacing w:val="-5"/>
        </w:rPr>
        <w:t> </w:t>
      </w:r>
      <w:r>
        <w:rPr/>
        <w:t>Right</w:t>
      </w:r>
      <w:r>
        <w:rPr>
          <w:spacing w:val="-5"/>
        </w:rPr>
        <w:t> </w:t>
      </w:r>
      <w:r>
        <w:rPr/>
        <w:t>Ventricular</w:t>
      </w:r>
      <w:r>
        <w:rPr>
          <w:spacing w:val="-5"/>
        </w:rPr>
        <w:t> </w:t>
      </w:r>
      <w:r>
        <w:rPr/>
        <w:t>Failure</w:t>
      </w:r>
      <w:r>
        <w:rPr>
          <w:spacing w:val="-5"/>
        </w:rPr>
        <w:t> </w:t>
      </w:r>
      <w:r>
        <w:rPr/>
        <w:t>in Pulmonary Hypertension: A Cross-Sectional Analysis</w:t>
      </w:r>
    </w:p>
    <w:p>
      <w:pPr>
        <w:pStyle w:val="BodyText"/>
        <w:rPr>
          <w:b/>
          <w:sz w:val="28"/>
        </w:rPr>
      </w:pPr>
    </w:p>
    <w:p>
      <w:pPr>
        <w:pStyle w:val="BodyText"/>
        <w:spacing w:before="174"/>
        <w:rPr>
          <w:b/>
          <w:sz w:val="28"/>
        </w:rPr>
      </w:pPr>
    </w:p>
    <w:p>
      <w:pPr>
        <w:spacing w:before="0"/>
        <w:ind w:left="23" w:right="0" w:firstLine="0"/>
        <w:jc w:val="left"/>
        <w:rPr>
          <w:b/>
          <w:sz w:val="20"/>
        </w:rPr>
      </w:pPr>
      <w:r>
        <w:rPr>
          <w:b/>
          <w:spacing w:val="-2"/>
          <w:sz w:val="20"/>
        </w:rPr>
        <w:t>Abstract</w:t>
      </w:r>
    </w:p>
    <w:p>
      <w:pPr>
        <w:spacing w:line="360" w:lineRule="auto" w:before="111"/>
        <w:ind w:left="23" w:right="17" w:firstLine="0"/>
        <w:jc w:val="both"/>
        <w:rPr>
          <w:sz w:val="20"/>
        </w:rPr>
      </w:pPr>
      <w:r>
        <w:rPr>
          <w:b/>
          <w:sz w:val="20"/>
        </w:rPr>
        <w:t>Background</w:t>
      </w:r>
      <w:r>
        <w:rPr>
          <w:sz w:val="20"/>
        </w:rPr>
        <w:t>: Right ventricular failure (RVF) represents a severe complication of pulmonary hypertension (PH) with substantial mortality, particularly in intensive care unit (ICU) settings. This study focused on determining the prevalence and identifying predictors of echocardiographically assessed RVF in PH patients admitted to the </w:t>
      </w:r>
      <w:r>
        <w:rPr>
          <w:spacing w:val="-4"/>
          <w:sz w:val="20"/>
        </w:rPr>
        <w:t>ICU.</w:t>
      </w:r>
    </w:p>
    <w:p>
      <w:pPr>
        <w:spacing w:line="360" w:lineRule="auto" w:before="1"/>
        <w:ind w:left="23" w:right="17" w:firstLine="0"/>
        <w:jc w:val="both"/>
        <w:rPr>
          <w:sz w:val="20"/>
        </w:rPr>
      </w:pPr>
      <w:r>
        <w:rPr>
          <w:b/>
          <w:sz w:val="20"/>
        </w:rPr>
        <w:t>Methods</w:t>
      </w:r>
      <w:r>
        <w:rPr>
          <w:sz w:val="20"/>
        </w:rPr>
        <w:t>: A retrospective cross-sectional study was performed at Rasoul Akram Hospital in Tehran, Iran, spanning March 2023 to March 2024. Sixty-two adult PH patients (mean age 72.3 ± 14.0 years; 58.1% female) admitted</w:t>
      </w:r>
      <w:r>
        <w:rPr>
          <w:spacing w:val="-1"/>
          <w:sz w:val="20"/>
        </w:rPr>
        <w:t> </w:t>
      </w:r>
      <w:r>
        <w:rPr>
          <w:sz w:val="20"/>
        </w:rPr>
        <w:t>to</w:t>
      </w:r>
      <w:r>
        <w:rPr>
          <w:spacing w:val="-1"/>
          <w:sz w:val="20"/>
        </w:rPr>
        <w:t> </w:t>
      </w:r>
      <w:r>
        <w:rPr>
          <w:sz w:val="20"/>
        </w:rPr>
        <w:t>the</w:t>
      </w:r>
      <w:r>
        <w:rPr>
          <w:spacing w:val="-1"/>
          <w:sz w:val="20"/>
        </w:rPr>
        <w:t> </w:t>
      </w:r>
      <w:r>
        <w:rPr>
          <w:sz w:val="20"/>
        </w:rPr>
        <w:t>ICU were analyzed.</w:t>
      </w:r>
      <w:r>
        <w:rPr>
          <w:spacing w:val="-2"/>
          <w:sz w:val="20"/>
        </w:rPr>
        <w:t> </w:t>
      </w:r>
      <w:r>
        <w:rPr>
          <w:sz w:val="20"/>
        </w:rPr>
        <w:t>RVF was</w:t>
      </w:r>
      <w:r>
        <w:rPr>
          <w:spacing w:val="-2"/>
          <w:sz w:val="20"/>
        </w:rPr>
        <w:t> </w:t>
      </w:r>
      <w:r>
        <w:rPr>
          <w:sz w:val="20"/>
        </w:rPr>
        <w:t>diagnosed based on</w:t>
      </w:r>
      <w:r>
        <w:rPr>
          <w:spacing w:val="-3"/>
          <w:sz w:val="20"/>
        </w:rPr>
        <w:t> </w:t>
      </w:r>
      <w:r>
        <w:rPr>
          <w:sz w:val="20"/>
        </w:rPr>
        <w:t>echocardiographic parameters,</w:t>
      </w:r>
      <w:r>
        <w:rPr>
          <w:spacing w:val="-1"/>
          <w:sz w:val="20"/>
        </w:rPr>
        <w:t> </w:t>
      </w:r>
      <w:r>
        <w:rPr>
          <w:sz w:val="20"/>
        </w:rPr>
        <w:t>including</w:t>
      </w:r>
      <w:r>
        <w:rPr>
          <w:spacing w:val="-2"/>
          <w:sz w:val="20"/>
        </w:rPr>
        <w:t> </w:t>
      </w:r>
      <w:r>
        <w:rPr>
          <w:sz w:val="20"/>
        </w:rPr>
        <w:t>right atrial pressure (RAP), right ventricular fractional area change (RVFAC), right ventricular systolic pressure (RVSP), tricuspid annular plane systolic excursion (TAPSE), and the right ventricular myocardial performance index (RVMPI). Data on clinical demographics, laboratory findings (creatinine, sodium, hemoglobin, albumin, potassium), comorbidities, and outcomes were evaluated using SPSS v26. Mortality predictors were identified through Cox regression analysis.</w:t>
      </w:r>
    </w:p>
    <w:p>
      <w:pPr>
        <w:spacing w:line="360" w:lineRule="auto" w:before="0"/>
        <w:ind w:left="23" w:right="17" w:firstLine="0"/>
        <w:jc w:val="both"/>
        <w:rPr>
          <w:sz w:val="20"/>
        </w:rPr>
      </w:pPr>
      <w:r>
        <w:rPr>
          <w:b/>
          <w:sz w:val="20"/>
        </w:rPr>
        <w:t>Results</w:t>
      </w:r>
      <w:r>
        <w:rPr>
          <w:sz w:val="20"/>
        </w:rPr>
        <w:t>: Prevalence of RVF: All patients (100%) exhibited echocardiographic evidence of RV dysfunction. Mortality and ICU stay: 41.9% (26 patients) did not survive hospitalization, with survivors experiencing significantly shorter ICU stays compared to non-survivors (11.97 vs. 26.88 days, p=0.001). Echocardiographic findings: Abnormal RV function was observed in parameters such as mean RAP (8.71 ± 4.7 mmHg), RVFAC (31.5 ± 7.5%), and TAPSE (15.9 ± 3.9 mm). Mortality predictors: Cox regression highlighted six independent predictors of mortality: older age (HR 1.03 per year; p=0.002), hyponatremia (sodium ≤136 mEq/L; HR 2.89, p&lt;0.001), elevated creatinine levels (HR 1.25 per mg/dL; p=0.001), RAP &gt;8 mmHg (HR 1.78; p=0.003), ICU stays exceeding 20 days (HR 3.14; p&lt;0.001), and chronic kidney disease (CKD; HR 2.10; p=0.002). Echocardiographic and laboratory parameters showed no significant differences between survivorship groups (p&gt;0.05). The most common comorbidities were hypertension (43.5%) and diabetes (41.9%).</w:t>
      </w:r>
    </w:p>
    <w:p>
      <w:pPr>
        <w:spacing w:line="360" w:lineRule="auto" w:before="0"/>
        <w:ind w:left="23" w:right="17" w:firstLine="0"/>
        <w:jc w:val="both"/>
        <w:rPr>
          <w:sz w:val="20"/>
        </w:rPr>
      </w:pPr>
      <w:r>
        <w:rPr>
          <w:b/>
          <w:sz w:val="20"/>
        </w:rPr>
        <w:t>Conclusion</w:t>
      </w:r>
      <w:r>
        <w:rPr>
          <w:sz w:val="20"/>
        </w:rPr>
        <w:t>: RVF is ubiquitous among ICU-admitted PH patients and associated with a high mortality rate of 41.9%. Prolonged ICU stays, hyponatremia, renal dysfunction, and elevated RAP emerge as critical modifiable factors linked to worse outcomes. Early interventions targeting electrolyte management, RV hemodynamics assessment, and strategies to minimize ICU duration could enhance survival rates in this vulnerable population.</w:t>
      </w:r>
    </w:p>
    <w:p>
      <w:pPr>
        <w:pStyle w:val="BodyText"/>
        <w:rPr>
          <w:sz w:val="20"/>
        </w:rPr>
      </w:pPr>
    </w:p>
    <w:p>
      <w:pPr>
        <w:pStyle w:val="BodyText"/>
        <w:spacing w:before="8"/>
        <w:rPr>
          <w:sz w:val="20"/>
        </w:rPr>
      </w:pPr>
    </w:p>
    <w:p>
      <w:pPr>
        <w:spacing w:before="0"/>
        <w:ind w:left="23" w:right="0" w:firstLine="0"/>
        <w:jc w:val="left"/>
        <w:rPr>
          <w:sz w:val="20"/>
        </w:rPr>
      </w:pPr>
      <w:r>
        <w:rPr>
          <w:b/>
          <w:sz w:val="20"/>
        </w:rPr>
        <w:t>Keywords</w:t>
      </w:r>
      <w:r>
        <w:rPr>
          <w:sz w:val="20"/>
        </w:rPr>
        <w:t>:</w:t>
      </w:r>
      <w:r>
        <w:rPr>
          <w:spacing w:val="-10"/>
          <w:sz w:val="20"/>
        </w:rPr>
        <w:t> </w:t>
      </w:r>
      <w:r>
        <w:rPr>
          <w:sz w:val="20"/>
        </w:rPr>
        <w:t>Right</w:t>
      </w:r>
      <w:r>
        <w:rPr>
          <w:spacing w:val="-7"/>
          <w:sz w:val="20"/>
        </w:rPr>
        <w:t> </w:t>
      </w:r>
      <w:r>
        <w:rPr>
          <w:sz w:val="20"/>
        </w:rPr>
        <w:t>ventricular</w:t>
      </w:r>
      <w:r>
        <w:rPr>
          <w:spacing w:val="-6"/>
          <w:sz w:val="20"/>
        </w:rPr>
        <w:t> </w:t>
      </w:r>
      <w:r>
        <w:rPr>
          <w:sz w:val="20"/>
        </w:rPr>
        <w:t>failure,</w:t>
      </w:r>
      <w:r>
        <w:rPr>
          <w:spacing w:val="-7"/>
          <w:sz w:val="20"/>
        </w:rPr>
        <w:t> </w:t>
      </w:r>
      <w:r>
        <w:rPr>
          <w:sz w:val="20"/>
        </w:rPr>
        <w:t>Pulmonary</w:t>
      </w:r>
      <w:r>
        <w:rPr>
          <w:spacing w:val="-10"/>
          <w:sz w:val="20"/>
        </w:rPr>
        <w:t> </w:t>
      </w:r>
      <w:r>
        <w:rPr>
          <w:sz w:val="20"/>
        </w:rPr>
        <w:t>hypertension,</w:t>
      </w:r>
      <w:r>
        <w:rPr>
          <w:spacing w:val="-8"/>
          <w:sz w:val="20"/>
        </w:rPr>
        <w:t> </w:t>
      </w:r>
      <w:r>
        <w:rPr>
          <w:sz w:val="20"/>
        </w:rPr>
        <w:t>Echocardiography,</w:t>
      </w:r>
      <w:r>
        <w:rPr>
          <w:spacing w:val="-9"/>
          <w:sz w:val="20"/>
        </w:rPr>
        <w:t> </w:t>
      </w:r>
      <w:r>
        <w:rPr>
          <w:sz w:val="20"/>
        </w:rPr>
        <w:t>ICU</w:t>
      </w:r>
      <w:r>
        <w:rPr>
          <w:spacing w:val="-6"/>
          <w:sz w:val="20"/>
        </w:rPr>
        <w:t> </w:t>
      </w:r>
      <w:r>
        <w:rPr>
          <w:sz w:val="20"/>
        </w:rPr>
        <w:t>mortality,</w:t>
      </w:r>
      <w:r>
        <w:rPr>
          <w:spacing w:val="-9"/>
          <w:sz w:val="20"/>
        </w:rPr>
        <w:t> </w:t>
      </w:r>
      <w:r>
        <w:rPr>
          <w:sz w:val="20"/>
        </w:rPr>
        <w:t>Risk</w:t>
      </w:r>
      <w:r>
        <w:rPr>
          <w:spacing w:val="-9"/>
          <w:sz w:val="20"/>
        </w:rPr>
        <w:t> </w:t>
      </w:r>
      <w:r>
        <w:rPr>
          <w:spacing w:val="-2"/>
          <w:sz w:val="20"/>
        </w:rPr>
        <w:t>factors</w:t>
      </w:r>
    </w:p>
    <w:p>
      <w:pPr>
        <w:spacing w:after="0"/>
        <w:jc w:val="left"/>
        <w:rPr>
          <w:sz w:val="20"/>
        </w:rPr>
        <w:sectPr>
          <w:type w:val="continuous"/>
          <w:pgSz w:w="11910" w:h="16840"/>
          <w:pgMar w:top="1360" w:bottom="280" w:left="1417" w:right="1417"/>
        </w:sectPr>
      </w:pPr>
    </w:p>
    <w:p>
      <w:pPr>
        <w:spacing w:before="61"/>
        <w:ind w:left="23" w:right="0" w:firstLine="0"/>
        <w:jc w:val="left"/>
        <w:rPr>
          <w:b/>
          <w:sz w:val="24"/>
        </w:rPr>
      </w:pPr>
      <w:r>
        <w:rPr>
          <w:b/>
          <w:spacing w:val="-2"/>
          <w:sz w:val="24"/>
        </w:rPr>
        <w:t>Introduction</w:t>
      </w:r>
    </w:p>
    <w:p>
      <w:pPr>
        <w:pStyle w:val="BodyText"/>
        <w:spacing w:line="360" w:lineRule="auto" w:before="132"/>
        <w:ind w:left="23" w:right="12"/>
        <w:jc w:val="both"/>
      </w:pPr>
      <w:r>
        <w:rPr>
          <w:color w:val="232323"/>
        </w:rPr>
        <w:t>Pulmonary hypertension refers to an abnormal increase in pressure within the pulmonary arteries. Historically, the diagnosis was based on a resting mean pulmonary artery pressure (mPAP) of 25 mmHg or higher, as outlined in earlier guidelines. This threshold served as the primary reference for diagnosing the condition for many years. However, following updates from the Sixth World Symposium on Pulmonary Hypertension in 2022, the definition has been revised (1)</w:t>
      </w:r>
      <w:r>
        <w:rPr/>
        <w:t>.</w:t>
      </w:r>
      <w:r>
        <w:rPr>
          <w:spacing w:val="40"/>
        </w:rPr>
        <w:t> </w:t>
      </w:r>
      <w:r>
        <w:rPr>
          <w:color w:val="232323"/>
        </w:rPr>
        <w:t>The new diagnostic cutoff for mPAP is now set at levels above 20 mmHg. This change is based on research indicating that even slight elevations in pulmonary artery pressure can be associated with clinical complications. To diagnose pulmonary arterial hypertension (PAH), additional criteria must also be considered. Pulmonary capillary wedge pressure (PCWP) should be 15 mmHg or lower to exclude issues stemming from left heart disorders. Furthermore, pulmonary vascular resistance (PVR) must exceed 2 Wood units, which signifies narrowing or blockage within the pulmonary vessels. In cases where mPAP ranges between 21 and 24 mmHg, the patient may be categorized as borderline pulmonary hypertension (Borderline PH), warranting closer monitoring and follow-up care. Early detection and effective treatment are vital to improving patients' quality</w:t>
      </w:r>
      <w:r>
        <w:rPr>
          <w:color w:val="232323"/>
          <w:spacing w:val="-1"/>
        </w:rPr>
        <w:t> </w:t>
      </w:r>
      <w:r>
        <w:rPr>
          <w:color w:val="232323"/>
        </w:rPr>
        <w:t>of life and mitigating complications related to this condition (2)</w:t>
      </w:r>
      <w:r>
        <w:rPr/>
        <w:t>. P</w:t>
      </w:r>
      <w:r>
        <w:rPr>
          <w:color w:val="232323"/>
        </w:rPr>
        <w:t>ulmonary hypertension remains a significant health concern worldwide, affecting people across all age groups, with an especially pronounced impact on the growing population of elderly individuals. It demonstrates higher prevalence in countries with older populations, exerting substantial pressure on healthcare systems.</w:t>
      </w:r>
      <w:r>
        <w:rPr>
          <w:color w:val="232323"/>
          <w:spacing w:val="-2"/>
        </w:rPr>
        <w:t> </w:t>
      </w:r>
      <w:r>
        <w:rPr>
          <w:color w:val="232323"/>
        </w:rPr>
        <w:t>Current</w:t>
      </w:r>
      <w:r>
        <w:rPr>
          <w:color w:val="232323"/>
          <w:spacing w:val="-2"/>
        </w:rPr>
        <w:t> </w:t>
      </w:r>
      <w:r>
        <w:rPr>
          <w:color w:val="232323"/>
        </w:rPr>
        <w:t>statistics</w:t>
      </w:r>
      <w:r>
        <w:rPr>
          <w:color w:val="232323"/>
          <w:spacing w:val="-1"/>
        </w:rPr>
        <w:t> </w:t>
      </w:r>
      <w:r>
        <w:rPr>
          <w:color w:val="232323"/>
        </w:rPr>
        <w:t>estimate</w:t>
      </w:r>
      <w:r>
        <w:rPr>
          <w:color w:val="232323"/>
          <w:spacing w:val="-3"/>
        </w:rPr>
        <w:t> </w:t>
      </w:r>
      <w:r>
        <w:rPr>
          <w:color w:val="232323"/>
        </w:rPr>
        <w:t>that</w:t>
      </w:r>
      <w:r>
        <w:rPr>
          <w:color w:val="232323"/>
          <w:spacing w:val="-2"/>
        </w:rPr>
        <w:t> </w:t>
      </w:r>
      <w:r>
        <w:rPr>
          <w:color w:val="232323"/>
        </w:rPr>
        <w:t>approximately</w:t>
      </w:r>
      <w:r>
        <w:rPr>
          <w:color w:val="232323"/>
          <w:spacing w:val="-4"/>
        </w:rPr>
        <w:t> </w:t>
      </w:r>
      <w:r>
        <w:rPr>
          <w:color w:val="232323"/>
        </w:rPr>
        <w:t>1%</w:t>
      </w:r>
      <w:r>
        <w:rPr>
          <w:color w:val="232323"/>
          <w:spacing w:val="-3"/>
        </w:rPr>
        <w:t> </w:t>
      </w:r>
      <w:r>
        <w:rPr>
          <w:color w:val="232323"/>
        </w:rPr>
        <w:t>of</w:t>
      </w:r>
      <w:r>
        <w:rPr>
          <w:color w:val="232323"/>
          <w:spacing w:val="-3"/>
        </w:rPr>
        <w:t> </w:t>
      </w:r>
      <w:r>
        <w:rPr>
          <w:color w:val="232323"/>
        </w:rPr>
        <w:t>the</w:t>
      </w:r>
      <w:r>
        <w:rPr>
          <w:color w:val="232323"/>
          <w:spacing w:val="-1"/>
        </w:rPr>
        <w:t> </w:t>
      </w:r>
      <w:r>
        <w:rPr>
          <w:color w:val="232323"/>
        </w:rPr>
        <w:t>global</w:t>
      </w:r>
      <w:r>
        <w:rPr>
          <w:color w:val="232323"/>
          <w:spacing w:val="-1"/>
        </w:rPr>
        <w:t> </w:t>
      </w:r>
      <w:r>
        <w:rPr>
          <w:color w:val="232323"/>
        </w:rPr>
        <w:t>population</w:t>
      </w:r>
      <w:r>
        <w:rPr>
          <w:color w:val="232323"/>
          <w:spacing w:val="-2"/>
        </w:rPr>
        <w:t> </w:t>
      </w:r>
      <w:r>
        <w:rPr>
          <w:color w:val="232323"/>
        </w:rPr>
        <w:t>is</w:t>
      </w:r>
      <w:r>
        <w:rPr>
          <w:color w:val="232323"/>
          <w:spacing w:val="-2"/>
        </w:rPr>
        <w:t> </w:t>
      </w:r>
      <w:r>
        <w:rPr>
          <w:color w:val="232323"/>
        </w:rPr>
        <w:t>affected by pulmonary hypertension, with this figure increasing to nearly 10% among those aged 65 and older (2, 3)</w:t>
      </w:r>
      <w:r>
        <w:rPr/>
        <w:t>.</w:t>
      </w:r>
    </w:p>
    <w:p>
      <w:pPr>
        <w:pStyle w:val="BodyText"/>
        <w:spacing w:line="360" w:lineRule="auto" w:before="2"/>
        <w:ind w:left="23" w:right="20"/>
        <w:jc w:val="both"/>
      </w:pPr>
      <w:r>
        <w:rPr/>
        <w:t>Despite variations in the underlying causes and treatment approaches for different forms of pulmonary hypertension, this condition holds significant clinical importance across all cases. It commonly manifests through symptoms such as shortness of breath, chronic fatigue, and a reduced ability to carry out everyday activities. Furthermore, it almost invariably presents an elevated risk of mortality, particularly if timely and appropriate diagnosis or treatment is not achieved. With the increasing elderly population in many countries, pulmonary hypertension has emerged as a growing challenge for healthcare systems. This highlights the critical need for public awareness, early diagnosis, and unhindered access to effective treatments (4).</w:t>
      </w:r>
    </w:p>
    <w:p>
      <w:pPr>
        <w:pStyle w:val="BodyText"/>
        <w:spacing w:line="360" w:lineRule="auto" w:before="1"/>
        <w:ind w:left="23" w:right="20" w:firstLine="60"/>
        <w:jc w:val="both"/>
      </w:pPr>
      <w:r>
        <w:rPr/>
        <w:t>Right ventricular failure stands out as a key prognostic factor in patients with pulmonary hypertension, accounting for over 70% of disease-related deaths. Hemodynamically, this condition</w:t>
      </w:r>
      <w:r>
        <w:rPr>
          <w:spacing w:val="28"/>
        </w:rPr>
        <w:t> </w:t>
      </w:r>
      <w:r>
        <w:rPr/>
        <w:t>is</w:t>
      </w:r>
      <w:r>
        <w:rPr>
          <w:spacing w:val="31"/>
        </w:rPr>
        <w:t> </w:t>
      </w:r>
      <w:r>
        <w:rPr/>
        <w:t>characterized</w:t>
      </w:r>
      <w:r>
        <w:rPr>
          <w:spacing w:val="29"/>
        </w:rPr>
        <w:t> </w:t>
      </w:r>
      <w:r>
        <w:rPr/>
        <w:t>by</w:t>
      </w:r>
      <w:r>
        <w:rPr>
          <w:spacing w:val="28"/>
        </w:rPr>
        <w:t> </w:t>
      </w:r>
      <w:r>
        <w:rPr/>
        <w:t>a</w:t>
      </w:r>
      <w:r>
        <w:rPr>
          <w:spacing w:val="31"/>
        </w:rPr>
        <w:t> </w:t>
      </w:r>
      <w:r>
        <w:rPr/>
        <w:t>reduction</w:t>
      </w:r>
      <w:r>
        <w:rPr>
          <w:spacing w:val="30"/>
        </w:rPr>
        <w:t> </w:t>
      </w:r>
      <w:r>
        <w:rPr/>
        <w:t>in</w:t>
      </w:r>
      <w:r>
        <w:rPr>
          <w:spacing w:val="30"/>
        </w:rPr>
        <w:t> </w:t>
      </w:r>
      <w:r>
        <w:rPr/>
        <w:t>cardiac</w:t>
      </w:r>
      <w:r>
        <w:rPr>
          <w:spacing w:val="29"/>
        </w:rPr>
        <w:t> </w:t>
      </w:r>
      <w:r>
        <w:rPr/>
        <w:t>index</w:t>
      </w:r>
      <w:r>
        <w:rPr>
          <w:spacing w:val="31"/>
        </w:rPr>
        <w:t> </w:t>
      </w:r>
      <w:r>
        <w:rPr/>
        <w:t>(below</w:t>
      </w:r>
      <w:r>
        <w:rPr>
          <w:spacing w:val="33"/>
        </w:rPr>
        <w:t> </w:t>
      </w:r>
      <w:r>
        <w:rPr/>
        <w:t>2.5</w:t>
      </w:r>
      <w:r>
        <w:rPr>
          <w:spacing w:val="29"/>
        </w:rPr>
        <w:t> </w:t>
      </w:r>
      <w:r>
        <w:rPr/>
        <w:t>liters</w:t>
      </w:r>
      <w:r>
        <w:rPr>
          <w:spacing w:val="38"/>
        </w:rPr>
        <w:t> </w:t>
      </w:r>
      <w:r>
        <w:rPr/>
        <w:t>per</w:t>
      </w:r>
      <w:r>
        <w:rPr>
          <w:spacing w:val="31"/>
        </w:rPr>
        <w:t> </w:t>
      </w:r>
      <w:r>
        <w:rPr/>
        <w:t>minute</w:t>
      </w:r>
      <w:r>
        <w:rPr>
          <w:spacing w:val="30"/>
        </w:rPr>
        <w:t> </w:t>
      </w:r>
      <w:r>
        <w:rPr>
          <w:spacing w:val="-5"/>
        </w:rPr>
        <w:t>per</w:t>
      </w:r>
    </w:p>
    <w:p>
      <w:pPr>
        <w:pStyle w:val="BodyText"/>
        <w:spacing w:after="0" w:line="360" w:lineRule="auto"/>
        <w:jc w:val="both"/>
        <w:sectPr>
          <w:pgSz w:w="11910" w:h="16840"/>
          <w:pgMar w:top="1360" w:bottom="280" w:left="1417" w:right="1417"/>
        </w:sectPr>
      </w:pPr>
    </w:p>
    <w:p>
      <w:pPr>
        <w:pStyle w:val="BodyText"/>
        <w:spacing w:line="360" w:lineRule="auto" w:before="76"/>
        <w:ind w:left="23" w:right="17"/>
        <w:jc w:val="both"/>
      </w:pPr>
      <w:r>
        <w:rPr/>
        <w:t>square meter) and elevated right atrial pressure (RAP exceeding 8 mmHg). However, the absence of a standardized global definition has complicated the assessment of this</w:t>
      </w:r>
      <w:r>
        <w:rPr>
          <w:spacing w:val="40"/>
        </w:rPr>
        <w:t> </w:t>
      </w:r>
      <w:r>
        <w:rPr/>
        <w:t>dysfunction in clinical studies and trials. The pathophysiology of right ventricular failure primarily stems from a sudden increase in afterload due to pulmonary vascular resistance (PVR) and impaired synchronization between the right ventricle and the pulmonary artery (RV-PA uncoupling). This disruption can be quantified through a reduced ratio of maximal pressure-volume change during systole (Ees/Ea) (5, 6)</w:t>
      </w:r>
      <w:r>
        <w:rPr>
          <w:color w:val="232323"/>
        </w:rPr>
        <w:t>.</w:t>
      </w:r>
    </w:p>
    <w:p>
      <w:pPr>
        <w:pStyle w:val="BodyText"/>
        <w:spacing w:line="360" w:lineRule="auto"/>
        <w:ind w:left="23" w:right="16"/>
        <w:jc w:val="both"/>
      </w:pPr>
      <w:r>
        <w:rPr>
          <w:color w:val="232323"/>
        </w:rPr>
        <w:t>Pulmonary hypertension is a major reason for ICU admissions, presenting significant challenges for physicians. Although medical care has advanced, the prevalence and effects of right ventricular failure in these patients are still not fully understood. The combination of pulmonary hypertension and right ventricular failure creates complex diagnostic and</w:t>
      </w:r>
      <w:r>
        <w:rPr>
          <w:color w:val="232323"/>
          <w:spacing w:val="40"/>
        </w:rPr>
        <w:t> </w:t>
      </w:r>
      <w:r>
        <w:rPr>
          <w:color w:val="232323"/>
        </w:rPr>
        <w:t>treatment hurdles, often linked to high mortality rates. Comorbidities and common hemodynamic instability further reduce survival chances, especially in patients with poor prognoses (7, 8).</w:t>
      </w:r>
    </w:p>
    <w:p>
      <w:pPr>
        <w:pStyle w:val="BodyText"/>
        <w:spacing w:line="360" w:lineRule="auto" w:before="1"/>
        <w:ind w:left="23" w:right="19"/>
        <w:jc w:val="both"/>
      </w:pPr>
      <w:r>
        <w:rPr>
          <w:color w:val="232323"/>
        </w:rPr>
        <w:t>This study aimed to evaluate the prevalence of RVF, specifically utilizing echocardiography, in ICU patients experiencing elevated pulmonary pressure levels. By addressing this critical issue, the research seeks to enhance our understanding of the cardiovascular complications linked to pulmonary hypertension within intensive care environments, ultimately aiding in improved patient outcomes and the development of more effective management strategies.</w:t>
      </w:r>
    </w:p>
    <w:p>
      <w:pPr>
        <w:pStyle w:val="BodyText"/>
      </w:pPr>
    </w:p>
    <w:p>
      <w:pPr>
        <w:pStyle w:val="BodyText"/>
      </w:pPr>
    </w:p>
    <w:p>
      <w:pPr>
        <w:pStyle w:val="BodyText"/>
        <w:spacing w:before="4"/>
      </w:pPr>
    </w:p>
    <w:p>
      <w:pPr>
        <w:spacing w:before="0"/>
        <w:ind w:left="23" w:right="0" w:firstLine="0"/>
        <w:jc w:val="left"/>
        <w:rPr>
          <w:b/>
          <w:sz w:val="24"/>
        </w:rPr>
      </w:pPr>
      <w:r>
        <w:rPr>
          <w:b/>
          <w:spacing w:val="-2"/>
          <w:sz w:val="24"/>
        </w:rPr>
        <w:t>Methods</w:t>
      </w:r>
    </w:p>
    <w:p>
      <w:pPr>
        <w:pStyle w:val="BodyText"/>
        <w:spacing w:before="272"/>
        <w:rPr>
          <w:b/>
        </w:rPr>
      </w:pPr>
    </w:p>
    <w:p>
      <w:pPr>
        <w:pStyle w:val="BodyText"/>
        <w:spacing w:line="360" w:lineRule="auto"/>
        <w:ind w:left="23" w:right="17"/>
        <w:jc w:val="both"/>
      </w:pPr>
      <w:r>
        <w:rPr/>
        <w:t>This retrospective cross-sectional study took place in the ICU of Rasoul Akram Hospital in Tehran, Iran, spanning March 2023 to March 2024. A total of sixty-two adult patients, aged over 18 years, diagnosed with pulmonary hypertension (PH) based on clinical and radiological criteria, were enrolled consecutively. Right ventricular failure (RVF) was evaluated within 24 hours of ICU admission using echocardiographic measurements, which included right atrial pressure (RAP), right ventricular fractional area change (RVFAC), right ventricular systolic pressure (RSVP), tricuspid annular plane systolic excursion (TAPSE),</w:t>
      </w:r>
      <w:r>
        <w:rPr>
          <w:spacing w:val="40"/>
        </w:rPr>
        <w:t> </w:t>
      </w:r>
      <w:r>
        <w:rPr/>
        <w:t>and right ventricular myocardial performance index (RVMPI). Data on demographics, laboratory parameters (creatinine, sodium, hemoglobin, albumin, potassium), and clinical outcomes such as mortality and ICU length of stay were collected from medical records. Statistical</w:t>
      </w:r>
      <w:r>
        <w:rPr>
          <w:spacing w:val="8"/>
        </w:rPr>
        <w:t> </w:t>
      </w:r>
      <w:r>
        <w:rPr/>
        <w:t>analyses</w:t>
      </w:r>
      <w:r>
        <w:rPr>
          <w:spacing w:val="9"/>
        </w:rPr>
        <w:t> </w:t>
      </w:r>
      <w:r>
        <w:rPr/>
        <w:t>were</w:t>
      </w:r>
      <w:r>
        <w:rPr>
          <w:spacing w:val="9"/>
        </w:rPr>
        <w:t> </w:t>
      </w:r>
      <w:r>
        <w:rPr/>
        <w:t>conducted</w:t>
      </w:r>
      <w:r>
        <w:rPr>
          <w:spacing w:val="7"/>
        </w:rPr>
        <w:t> </w:t>
      </w:r>
      <w:r>
        <w:rPr/>
        <w:t>using</w:t>
      </w:r>
      <w:r>
        <w:rPr>
          <w:spacing w:val="6"/>
        </w:rPr>
        <w:t> </w:t>
      </w:r>
      <w:r>
        <w:rPr/>
        <w:t>SPSS</w:t>
      </w:r>
      <w:r>
        <w:rPr>
          <w:spacing w:val="9"/>
        </w:rPr>
        <w:t> </w:t>
      </w:r>
      <w:r>
        <w:rPr/>
        <w:t>version</w:t>
      </w:r>
      <w:r>
        <w:rPr>
          <w:spacing w:val="8"/>
        </w:rPr>
        <w:t> </w:t>
      </w:r>
      <w:r>
        <w:rPr/>
        <w:t>26,</w:t>
      </w:r>
      <w:r>
        <w:rPr>
          <w:spacing w:val="7"/>
        </w:rPr>
        <w:t> </w:t>
      </w:r>
      <w:r>
        <w:rPr/>
        <w:t>applying</w:t>
      </w:r>
      <w:r>
        <w:rPr>
          <w:spacing w:val="6"/>
        </w:rPr>
        <w:t> </w:t>
      </w:r>
      <w:r>
        <w:rPr/>
        <w:t>*t*-tests,</w:t>
      </w:r>
      <w:r>
        <w:rPr>
          <w:spacing w:val="8"/>
        </w:rPr>
        <w:t> </w:t>
      </w:r>
      <w:r>
        <w:rPr/>
        <w:t>ANOVA,</w:t>
      </w:r>
      <w:r>
        <w:rPr>
          <w:spacing w:val="10"/>
        </w:rPr>
        <w:t> </w:t>
      </w:r>
      <w:r>
        <w:rPr>
          <w:spacing w:val="-5"/>
        </w:rPr>
        <w:t>and</w:t>
      </w:r>
    </w:p>
    <w:p>
      <w:pPr>
        <w:pStyle w:val="BodyText"/>
        <w:spacing w:after="0" w:line="360" w:lineRule="auto"/>
        <w:jc w:val="both"/>
        <w:sectPr>
          <w:pgSz w:w="11910" w:h="16840"/>
          <w:pgMar w:top="1340" w:bottom="280" w:left="1417" w:right="1417"/>
        </w:sectPr>
      </w:pPr>
    </w:p>
    <w:p>
      <w:pPr>
        <w:pStyle w:val="BodyText"/>
        <w:spacing w:line="360" w:lineRule="auto" w:before="76"/>
        <w:ind w:left="23" w:right="20"/>
        <w:jc w:val="both"/>
      </w:pPr>
      <w:r>
        <w:rPr/>
        <w:t>chi-square tests for group comparisons. Additionally, Cox regression modeling was used to identify predictors of mortality, with a significance threshold set at p&lt;0.05. Ethical approval for the study was granted by Iran University of Medical Sciences.</w:t>
      </w:r>
    </w:p>
    <w:p>
      <w:pPr>
        <w:pStyle w:val="BodyText"/>
        <w:spacing w:before="143"/>
      </w:pPr>
    </w:p>
    <w:p>
      <w:pPr>
        <w:spacing w:before="0"/>
        <w:ind w:left="23" w:right="0" w:firstLine="0"/>
        <w:jc w:val="left"/>
        <w:rPr>
          <w:b/>
          <w:sz w:val="24"/>
        </w:rPr>
      </w:pPr>
      <w:r>
        <w:rPr>
          <w:b/>
          <w:spacing w:val="-2"/>
          <w:sz w:val="24"/>
        </w:rPr>
        <w:t>Results</w:t>
      </w:r>
    </w:p>
    <w:p>
      <w:pPr>
        <w:pStyle w:val="BodyText"/>
        <w:spacing w:before="132"/>
        <w:ind w:left="23"/>
      </w:pPr>
      <w:r>
        <w:rPr/>
        <w:t>The</w:t>
      </w:r>
      <w:r>
        <w:rPr>
          <w:spacing w:val="24"/>
        </w:rPr>
        <w:t> </w:t>
      </w:r>
      <w:r>
        <w:rPr/>
        <w:t>study</w:t>
      </w:r>
      <w:r>
        <w:rPr>
          <w:spacing w:val="23"/>
        </w:rPr>
        <w:t> </w:t>
      </w:r>
      <w:r>
        <w:rPr/>
        <w:t>analyzed</w:t>
      </w:r>
      <w:r>
        <w:rPr>
          <w:spacing w:val="27"/>
        </w:rPr>
        <w:t> </w:t>
      </w:r>
      <w:r>
        <w:rPr/>
        <w:t>a</w:t>
      </w:r>
      <w:r>
        <w:rPr>
          <w:spacing w:val="25"/>
        </w:rPr>
        <w:t> </w:t>
      </w:r>
      <w:r>
        <w:rPr/>
        <w:t>comprehensive</w:t>
      </w:r>
      <w:r>
        <w:rPr>
          <w:spacing w:val="24"/>
        </w:rPr>
        <w:t> </w:t>
      </w:r>
      <w:r>
        <w:rPr/>
        <w:t>dataset</w:t>
      </w:r>
      <w:r>
        <w:rPr>
          <w:spacing w:val="26"/>
        </w:rPr>
        <w:t> </w:t>
      </w:r>
      <w:r>
        <w:rPr/>
        <w:t>of</w:t>
      </w:r>
      <w:r>
        <w:rPr>
          <w:spacing w:val="30"/>
        </w:rPr>
        <w:t> </w:t>
      </w:r>
      <w:r>
        <w:rPr/>
        <w:t>patients,</w:t>
      </w:r>
      <w:r>
        <w:rPr>
          <w:spacing w:val="25"/>
        </w:rPr>
        <w:t> </w:t>
      </w:r>
      <w:r>
        <w:rPr/>
        <w:t>presenting</w:t>
      </w:r>
      <w:r>
        <w:rPr>
          <w:spacing w:val="26"/>
        </w:rPr>
        <w:t> </w:t>
      </w:r>
      <w:r>
        <w:rPr/>
        <w:t>a</w:t>
      </w:r>
      <w:r>
        <w:rPr>
          <w:spacing w:val="24"/>
        </w:rPr>
        <w:t> </w:t>
      </w:r>
      <w:r>
        <w:rPr/>
        <w:t>mean</w:t>
      </w:r>
      <w:r>
        <w:rPr>
          <w:spacing w:val="26"/>
        </w:rPr>
        <w:t> </w:t>
      </w:r>
      <w:r>
        <w:rPr/>
        <w:t>age</w:t>
      </w:r>
      <w:r>
        <w:rPr>
          <w:spacing w:val="24"/>
        </w:rPr>
        <w:t> </w:t>
      </w:r>
      <w:r>
        <w:rPr/>
        <w:t>of</w:t>
      </w:r>
      <w:r>
        <w:rPr>
          <w:spacing w:val="27"/>
        </w:rPr>
        <w:t> </w:t>
      </w:r>
      <w:r>
        <w:rPr/>
        <w:t>72.29</w:t>
      </w:r>
      <w:r>
        <w:rPr>
          <w:spacing w:val="26"/>
        </w:rPr>
        <w:t> </w:t>
      </w:r>
      <w:r>
        <w:rPr>
          <w:spacing w:val="-10"/>
        </w:rPr>
        <w:t>±</w:t>
      </w:r>
    </w:p>
    <w:p>
      <w:pPr>
        <w:pStyle w:val="BodyText"/>
        <w:spacing w:line="360" w:lineRule="auto" w:before="139"/>
        <w:ind w:left="23" w:right="16"/>
        <w:jc w:val="both"/>
      </w:pPr>
      <w:r>
        <w:rPr/>
        <w:t>13.99 years with an age range spanning from 23 to 92 years. This cohort included a majority of females, accounting for 58.1% (n=36), while males represented 41.9% (n=26). Demographic and socioeconomic details revealed that most participants had limited educational backgrounds, with 90.3% not exceeding a high school diploma level. Additionally, income</w:t>
      </w:r>
      <w:r>
        <w:rPr>
          <w:spacing w:val="-1"/>
        </w:rPr>
        <w:t> </w:t>
      </w:r>
      <w:r>
        <w:rPr/>
        <w:t>levels predominantly</w:t>
      </w:r>
      <w:r>
        <w:rPr>
          <w:spacing w:val="-5"/>
        </w:rPr>
        <w:t> </w:t>
      </w:r>
      <w:r>
        <w:rPr/>
        <w:t>fell within the</w:t>
      </w:r>
      <w:r>
        <w:rPr>
          <w:spacing w:val="-1"/>
        </w:rPr>
        <w:t> </w:t>
      </w:r>
      <w:r>
        <w:rPr/>
        <w:t>low-to-moderate range, reported by 83.9% of the participants (Table 1).</w:t>
      </w:r>
    </w:p>
    <w:p>
      <w:pPr>
        <w:pStyle w:val="BodyText"/>
        <w:spacing w:line="360" w:lineRule="auto" w:before="1"/>
        <w:ind w:left="23" w:right="22"/>
        <w:jc w:val="both"/>
      </w:pPr>
      <w:r>
        <w:rPr/>
        <w:t>Regarding comorbidities, hypertension was observed as the most common condition, affecting 43.5% of the cohort, while diabetes mellitus showed nearly similar prevalence at 41.9%. In contrast, rarer conditions such as scleroderma and endocarditis were documented</w:t>
      </w:r>
      <w:r>
        <w:rPr>
          <w:spacing w:val="80"/>
        </w:rPr>
        <w:t> </w:t>
      </w:r>
      <w:r>
        <w:rPr/>
        <w:t>in only 3.2% and 1.6% of individuals, respectively (Table 2).</w:t>
      </w:r>
    </w:p>
    <w:p>
      <w:pPr>
        <w:pStyle w:val="BodyText"/>
        <w:spacing w:line="360" w:lineRule="auto" w:before="1"/>
        <w:ind w:left="23" w:right="17"/>
        <w:jc w:val="both"/>
      </w:pPr>
      <w:r>
        <w:rPr/>
        <w:t>Echocardiographic evaluations uniformly confirmed the presence of right ventricular failure (RVF) among all patients. Laboratory assessments yielded key findings, including an</w:t>
      </w:r>
      <w:r>
        <w:rPr>
          <w:spacing w:val="40"/>
        </w:rPr>
        <w:t> </w:t>
      </w:r>
      <w:r>
        <w:rPr/>
        <w:t>elevated serum creatinine level (2.14 ± 1.95 mg/dL) alongside hyponatremia (mean sodium concentration of 136.76 ± 7.55 mmol/L), with chronic kidney disease detected in 27.4% of cases (Table 3).</w:t>
      </w:r>
    </w:p>
    <w:p>
      <w:pPr>
        <w:pStyle w:val="BodyText"/>
        <w:tabs>
          <w:tab w:pos="755" w:val="left" w:leader="none"/>
          <w:tab w:pos="1820" w:val="left" w:leader="none"/>
          <w:tab w:pos="2887" w:val="left" w:leader="none"/>
          <w:tab w:pos="4048" w:val="left" w:leader="none"/>
          <w:tab w:pos="4660" w:val="left" w:leader="none"/>
          <w:tab w:pos="6264" w:val="left" w:leader="none"/>
          <w:tab w:pos="7595" w:val="left" w:leader="none"/>
          <w:tab w:pos="8849" w:val="left" w:leader="none"/>
        </w:tabs>
        <w:spacing w:line="360" w:lineRule="auto"/>
        <w:ind w:left="23" w:right="19"/>
      </w:pPr>
      <w:r>
        <w:rPr/>
        <w:t>Echocardiographic studies further highlighted severe pulmonary hypertension, as evidenced by elevated right ventricular systolic pressure (RVSP: 45.35 ± 10.64 mmHg). Indicators of</w:t>
      </w:r>
      <w:r>
        <w:rPr>
          <w:spacing w:val="80"/>
        </w:rPr>
        <w:t> </w:t>
      </w:r>
      <w:r>
        <w:rPr/>
        <w:t>impaired</w:t>
      </w:r>
      <w:r>
        <w:rPr>
          <w:spacing w:val="40"/>
        </w:rPr>
        <w:t> </w:t>
      </w:r>
      <w:r>
        <w:rPr/>
        <w:t>right</w:t>
      </w:r>
      <w:r>
        <w:rPr>
          <w:spacing w:val="40"/>
        </w:rPr>
        <w:t> </w:t>
      </w:r>
      <w:r>
        <w:rPr/>
        <w:t>ventricular</w:t>
      </w:r>
      <w:r>
        <w:rPr>
          <w:spacing w:val="40"/>
        </w:rPr>
        <w:t> </w:t>
      </w:r>
      <w:r>
        <w:rPr/>
        <w:t>function</w:t>
      </w:r>
      <w:r>
        <w:rPr>
          <w:spacing w:val="40"/>
        </w:rPr>
        <w:t> </w:t>
      </w:r>
      <w:r>
        <w:rPr/>
        <w:t>were</w:t>
      </w:r>
      <w:r>
        <w:rPr>
          <w:spacing w:val="40"/>
        </w:rPr>
        <w:t> </w:t>
      </w:r>
      <w:r>
        <w:rPr/>
        <w:t>noted,</w:t>
      </w:r>
      <w:r>
        <w:rPr>
          <w:spacing w:val="40"/>
        </w:rPr>
        <w:t> </w:t>
      </w:r>
      <w:r>
        <w:rPr/>
        <w:t>such</w:t>
      </w:r>
      <w:r>
        <w:rPr>
          <w:spacing w:val="40"/>
        </w:rPr>
        <w:t> </w:t>
      </w:r>
      <w:r>
        <w:rPr/>
        <w:t>as</w:t>
      </w:r>
      <w:r>
        <w:rPr>
          <w:spacing w:val="40"/>
        </w:rPr>
        <w:t> </w:t>
      </w:r>
      <w:r>
        <w:rPr/>
        <w:t>reduced</w:t>
      </w:r>
      <w:r>
        <w:rPr>
          <w:spacing w:val="40"/>
        </w:rPr>
        <w:t> </w:t>
      </w:r>
      <w:r>
        <w:rPr/>
        <w:t>tricuspid</w:t>
      </w:r>
      <w:r>
        <w:rPr>
          <w:spacing w:val="40"/>
        </w:rPr>
        <w:t> </w:t>
      </w:r>
      <w:r>
        <w:rPr/>
        <w:t>annular</w:t>
      </w:r>
      <w:r>
        <w:rPr>
          <w:spacing w:val="40"/>
        </w:rPr>
        <w:t> </w:t>
      </w:r>
      <w:r>
        <w:rPr/>
        <w:t>plane</w:t>
      </w:r>
      <w:r>
        <w:rPr>
          <w:spacing w:val="40"/>
        </w:rPr>
        <w:t> </w:t>
      </w:r>
      <w:r>
        <w:rPr/>
        <w:t>systolic</w:t>
      </w:r>
      <w:r>
        <w:rPr>
          <w:spacing w:val="33"/>
        </w:rPr>
        <w:t> </w:t>
      </w:r>
      <w:r>
        <w:rPr/>
        <w:t>excursion</w:t>
      </w:r>
      <w:r>
        <w:rPr>
          <w:spacing w:val="33"/>
        </w:rPr>
        <w:t> </w:t>
      </w:r>
      <w:r>
        <w:rPr/>
        <w:t>(TAPSE:</w:t>
      </w:r>
      <w:r>
        <w:rPr>
          <w:spacing w:val="34"/>
        </w:rPr>
        <w:t> </w:t>
      </w:r>
      <w:r>
        <w:rPr/>
        <w:t>15.86</w:t>
      </w:r>
      <w:r>
        <w:rPr>
          <w:spacing w:val="33"/>
        </w:rPr>
        <w:t> </w:t>
      </w:r>
      <w:r>
        <w:rPr/>
        <w:t>±</w:t>
      </w:r>
      <w:r>
        <w:rPr>
          <w:spacing w:val="34"/>
        </w:rPr>
        <w:t> </w:t>
      </w:r>
      <w:r>
        <w:rPr/>
        <w:t>3.89</w:t>
      </w:r>
      <w:r>
        <w:rPr>
          <w:spacing w:val="31"/>
        </w:rPr>
        <w:t> </w:t>
      </w:r>
      <w:r>
        <w:rPr/>
        <w:t>mm;</w:t>
      </w:r>
      <w:r>
        <w:rPr>
          <w:spacing w:val="31"/>
        </w:rPr>
        <w:t> </w:t>
      </w:r>
      <w:r>
        <w:rPr/>
        <w:t>with</w:t>
      </w:r>
      <w:r>
        <w:rPr>
          <w:spacing w:val="34"/>
        </w:rPr>
        <w:t> </w:t>
      </w:r>
      <w:r>
        <w:rPr/>
        <w:t>half</w:t>
      </w:r>
      <w:r>
        <w:rPr>
          <w:spacing w:val="33"/>
        </w:rPr>
        <w:t> </w:t>
      </w:r>
      <w:r>
        <w:rPr/>
        <w:t>of</w:t>
      </w:r>
      <w:r>
        <w:rPr>
          <w:spacing w:val="33"/>
        </w:rPr>
        <w:t> </w:t>
      </w:r>
      <w:r>
        <w:rPr/>
        <w:t>the</w:t>
      </w:r>
      <w:r>
        <w:rPr>
          <w:spacing w:val="33"/>
        </w:rPr>
        <w:t> </w:t>
      </w:r>
      <w:r>
        <w:rPr/>
        <w:t>samples</w:t>
      </w:r>
      <w:r>
        <w:rPr>
          <w:spacing w:val="33"/>
        </w:rPr>
        <w:t> </w:t>
      </w:r>
      <w:r>
        <w:rPr/>
        <w:t>below</w:t>
      </w:r>
      <w:r>
        <w:rPr>
          <w:spacing w:val="33"/>
        </w:rPr>
        <w:t> </w:t>
      </w:r>
      <w:r>
        <w:rPr/>
        <w:t>the</w:t>
      </w:r>
      <w:r>
        <w:rPr>
          <w:spacing w:val="33"/>
        </w:rPr>
        <w:t> </w:t>
      </w:r>
      <w:r>
        <w:rPr/>
        <w:t>critical threshold of 17 mm) and increased right atrial pressure (RAP: 8.71 ± 4.70 mmHg) (Table 4). Hospitalization</w:t>
      </w:r>
      <w:r>
        <w:rPr>
          <w:spacing w:val="40"/>
        </w:rPr>
        <w:t> </w:t>
      </w:r>
      <w:r>
        <w:rPr/>
        <w:t>outcomes</w:t>
      </w:r>
      <w:r>
        <w:rPr>
          <w:spacing w:val="40"/>
        </w:rPr>
        <w:t> </w:t>
      </w:r>
      <w:r>
        <w:rPr/>
        <w:t>showed</w:t>
      </w:r>
      <w:r>
        <w:rPr>
          <w:spacing w:val="40"/>
        </w:rPr>
        <w:t> </w:t>
      </w:r>
      <w:r>
        <w:rPr/>
        <w:t>a</w:t>
      </w:r>
      <w:r>
        <w:rPr>
          <w:spacing w:val="40"/>
        </w:rPr>
        <w:t> </w:t>
      </w:r>
      <w:r>
        <w:rPr/>
        <w:t>mortality</w:t>
      </w:r>
      <w:r>
        <w:rPr>
          <w:spacing w:val="40"/>
        </w:rPr>
        <w:t> </w:t>
      </w:r>
      <w:r>
        <w:rPr/>
        <w:t>rate</w:t>
      </w:r>
      <w:r>
        <w:rPr>
          <w:spacing w:val="40"/>
        </w:rPr>
        <w:t> </w:t>
      </w:r>
      <w:r>
        <w:rPr/>
        <w:t>of</w:t>
      </w:r>
      <w:r>
        <w:rPr>
          <w:spacing w:val="40"/>
        </w:rPr>
        <w:t> </w:t>
      </w:r>
      <w:r>
        <w:rPr/>
        <w:t>41.9%</w:t>
      </w:r>
      <w:r>
        <w:rPr>
          <w:spacing w:val="40"/>
        </w:rPr>
        <w:t> </w:t>
      </w:r>
      <w:r>
        <w:rPr/>
        <w:t>(n=26),</w:t>
      </w:r>
      <w:r>
        <w:rPr>
          <w:spacing w:val="40"/>
        </w:rPr>
        <w:t> </w:t>
      </w:r>
      <w:r>
        <w:rPr/>
        <w:t>with</w:t>
      </w:r>
      <w:r>
        <w:rPr>
          <w:spacing w:val="40"/>
        </w:rPr>
        <w:t> </w:t>
      </w:r>
      <w:r>
        <w:rPr/>
        <w:t>non-survivors</w:t>
      </w:r>
      <w:r>
        <w:rPr>
          <w:spacing w:val="40"/>
        </w:rPr>
        <w:t> </w:t>
      </w:r>
      <w:r>
        <w:rPr/>
        <w:t>experiencing significantly prolonged intensive care unit (ICU) stays compared to survivors</w:t>
      </w:r>
      <w:r>
        <w:rPr>
          <w:spacing w:val="80"/>
        </w:rPr>
        <w:t> </w:t>
      </w:r>
      <w:r>
        <w:rPr/>
        <w:t>(26.88 ±</w:t>
      </w:r>
      <w:r>
        <w:rPr>
          <w:spacing w:val="21"/>
        </w:rPr>
        <w:t> </w:t>
      </w:r>
      <w:r>
        <w:rPr/>
        <w:t>16.82 days versus</w:t>
      </w:r>
      <w:r>
        <w:rPr>
          <w:spacing w:val="21"/>
        </w:rPr>
        <w:t> </w:t>
      </w:r>
      <w:r>
        <w:rPr/>
        <w:t>11.97 ± 6.47 days;</w:t>
      </w:r>
      <w:r>
        <w:rPr>
          <w:spacing w:val="21"/>
        </w:rPr>
        <w:t> </w:t>
      </w:r>
      <w:r>
        <w:rPr/>
        <w:t>p</w:t>
      </w:r>
      <w:r>
        <w:rPr>
          <w:spacing w:val="22"/>
        </w:rPr>
        <w:t> </w:t>
      </w:r>
      <w:r>
        <w:rPr/>
        <w:t>= 0.001). While no significant</w:t>
      </w:r>
      <w:r>
        <w:rPr>
          <w:spacing w:val="21"/>
        </w:rPr>
        <w:t> </w:t>
      </w:r>
      <w:r>
        <w:rPr/>
        <w:t>differences </w:t>
      </w:r>
      <w:r>
        <w:rPr>
          <w:spacing w:val="-4"/>
        </w:rPr>
        <w:t>were</w:t>
      </w:r>
      <w:r>
        <w:rPr/>
        <w:tab/>
      </w:r>
      <w:r>
        <w:rPr>
          <w:spacing w:val="-2"/>
        </w:rPr>
        <w:t>detected</w:t>
      </w:r>
      <w:r>
        <w:rPr/>
        <w:tab/>
      </w:r>
      <w:r>
        <w:rPr>
          <w:spacing w:val="-2"/>
        </w:rPr>
        <w:t>between</w:t>
      </w:r>
      <w:r>
        <w:rPr/>
        <w:tab/>
      </w:r>
      <w:r>
        <w:rPr>
          <w:spacing w:val="-2"/>
        </w:rPr>
        <w:t>survivors</w:t>
      </w:r>
      <w:r>
        <w:rPr/>
        <w:tab/>
      </w:r>
      <w:r>
        <w:rPr>
          <w:spacing w:val="-4"/>
        </w:rPr>
        <w:t>and</w:t>
      </w:r>
      <w:r>
        <w:rPr/>
        <w:tab/>
      </w:r>
      <w:r>
        <w:rPr>
          <w:spacing w:val="-2"/>
        </w:rPr>
        <w:t>non-survivors</w:t>
      </w:r>
      <w:r>
        <w:rPr/>
        <w:tab/>
      </w:r>
      <w:r>
        <w:rPr>
          <w:spacing w:val="-2"/>
        </w:rPr>
        <w:t>concerning</w:t>
      </w:r>
      <w:r>
        <w:rPr/>
        <w:tab/>
      </w:r>
      <w:r>
        <w:rPr>
          <w:spacing w:val="-2"/>
        </w:rPr>
        <w:t>laboratory</w:t>
      </w:r>
      <w:r>
        <w:rPr/>
        <w:tab/>
      </w:r>
      <w:r>
        <w:rPr>
          <w:spacing w:val="-6"/>
        </w:rPr>
        <w:t>or </w:t>
      </w:r>
      <w:r>
        <w:rPr/>
        <w:t>echocardiographic parameters (p &gt; 0.05 in all cases) (Table 5-6).</w:t>
      </w:r>
    </w:p>
    <w:p>
      <w:pPr>
        <w:pStyle w:val="BodyText"/>
        <w:spacing w:line="360" w:lineRule="auto"/>
        <w:ind w:left="23" w:right="22"/>
        <w:jc w:val="both"/>
      </w:pPr>
      <w:r>
        <w:rPr/>
        <w:t>Cox regression analysis identified six independent mortality predictors in this patient population. These predictors were as follows: advancing age (hazard ratio [HR]: 1.03 per year;</w:t>
      </w:r>
      <w:r>
        <w:rPr>
          <w:spacing w:val="24"/>
        </w:rPr>
        <w:t> </w:t>
      </w:r>
      <w:r>
        <w:rPr/>
        <w:t>confidence</w:t>
      </w:r>
      <w:r>
        <w:rPr>
          <w:spacing w:val="25"/>
        </w:rPr>
        <w:t> </w:t>
      </w:r>
      <w:r>
        <w:rPr/>
        <w:t>interval</w:t>
      </w:r>
      <w:r>
        <w:rPr>
          <w:spacing w:val="29"/>
        </w:rPr>
        <w:t> </w:t>
      </w:r>
      <w:r>
        <w:rPr/>
        <w:t>[CI]:</w:t>
      </w:r>
      <w:r>
        <w:rPr>
          <w:spacing w:val="27"/>
        </w:rPr>
        <w:t> </w:t>
      </w:r>
      <w:r>
        <w:rPr/>
        <w:t>1.01–1.05;</w:t>
      </w:r>
      <w:r>
        <w:rPr>
          <w:spacing w:val="28"/>
        </w:rPr>
        <w:t> </w:t>
      </w:r>
      <w:r>
        <w:rPr/>
        <w:t>p</w:t>
      </w:r>
      <w:r>
        <w:rPr>
          <w:spacing w:val="27"/>
        </w:rPr>
        <w:t> </w:t>
      </w:r>
      <w:r>
        <w:rPr/>
        <w:t>=</w:t>
      </w:r>
      <w:r>
        <w:rPr>
          <w:spacing w:val="25"/>
        </w:rPr>
        <w:t> </w:t>
      </w:r>
      <w:r>
        <w:rPr/>
        <w:t>0.002),</w:t>
      </w:r>
      <w:r>
        <w:rPr>
          <w:spacing w:val="25"/>
        </w:rPr>
        <w:t> </w:t>
      </w:r>
      <w:r>
        <w:rPr/>
        <w:t>presence</w:t>
      </w:r>
      <w:r>
        <w:rPr>
          <w:spacing w:val="26"/>
        </w:rPr>
        <w:t> </w:t>
      </w:r>
      <w:r>
        <w:rPr/>
        <w:t>of</w:t>
      </w:r>
      <w:r>
        <w:rPr>
          <w:spacing w:val="25"/>
        </w:rPr>
        <w:t> </w:t>
      </w:r>
      <w:r>
        <w:rPr/>
        <w:t>hyponatremia</w:t>
      </w:r>
      <w:r>
        <w:rPr>
          <w:spacing w:val="25"/>
        </w:rPr>
        <w:t> </w:t>
      </w:r>
      <w:r>
        <w:rPr/>
        <w:t>defined</w:t>
      </w:r>
      <w:r>
        <w:rPr>
          <w:spacing w:val="27"/>
        </w:rPr>
        <w:t> </w:t>
      </w:r>
      <w:r>
        <w:rPr>
          <w:spacing w:val="-5"/>
        </w:rPr>
        <w:t>as</w:t>
      </w:r>
    </w:p>
    <w:p>
      <w:pPr>
        <w:pStyle w:val="BodyText"/>
        <w:spacing w:after="0" w:line="360" w:lineRule="auto"/>
        <w:jc w:val="both"/>
        <w:sectPr>
          <w:pgSz w:w="11910" w:h="16840"/>
          <w:pgMar w:top="1340" w:bottom="280" w:left="1417" w:right="1417"/>
        </w:sectPr>
      </w:pPr>
    </w:p>
    <w:p>
      <w:pPr>
        <w:pStyle w:val="BodyText"/>
        <w:spacing w:line="360" w:lineRule="auto" w:before="76"/>
        <w:ind w:left="23" w:right="19"/>
        <w:jc w:val="both"/>
      </w:pPr>
      <w:r>
        <w:rPr/>
        <w:t>serum sodium ≤136 mmol/L (HR: 2.89; CI: 1.56–5.35; p &lt; 0.001), elevated serum creatinine levels (HR: 1.25 per mg/dL; CI: 1.10–1.42; p = 0.001), right atrial pressure exceeding 8 mmHg (HR: 1.78; CI: 1.22–2.60; p = 0.003), ICU stays longer than 20 days (HR: 3.14; CI: 1.92–5.14;</w:t>
      </w:r>
      <w:r>
        <w:rPr>
          <w:spacing w:val="-1"/>
        </w:rPr>
        <w:t> </w:t>
      </w:r>
      <w:r>
        <w:rPr/>
        <w:t>p &lt; 0.001), and the</w:t>
      </w:r>
      <w:r>
        <w:rPr>
          <w:spacing w:val="-1"/>
        </w:rPr>
        <w:t> </w:t>
      </w:r>
      <w:r>
        <w:rPr/>
        <w:t>presence</w:t>
      </w:r>
      <w:r>
        <w:rPr>
          <w:spacing w:val="-1"/>
        </w:rPr>
        <w:t> </w:t>
      </w:r>
      <w:r>
        <w:rPr/>
        <w:t>of</w:t>
      </w:r>
      <w:r>
        <w:rPr>
          <w:spacing w:val="1"/>
        </w:rPr>
        <w:t> </w:t>
      </w:r>
      <w:r>
        <w:rPr/>
        <w:t>chronic</w:t>
      </w:r>
      <w:r>
        <w:rPr>
          <w:spacing w:val="1"/>
        </w:rPr>
        <w:t> </w:t>
      </w:r>
      <w:r>
        <w:rPr/>
        <w:t>kidney</w:t>
      </w:r>
      <w:r>
        <w:rPr>
          <w:spacing w:val="-5"/>
        </w:rPr>
        <w:t> </w:t>
      </w:r>
      <w:r>
        <w:rPr/>
        <w:t>disease</w:t>
      </w:r>
      <w:r>
        <w:rPr>
          <w:spacing w:val="-2"/>
        </w:rPr>
        <w:t> </w:t>
      </w:r>
      <w:r>
        <w:rPr/>
        <w:t>(HR: 2.10; CI: 1.30–3.40; </w:t>
      </w:r>
      <w:r>
        <w:rPr>
          <w:spacing w:val="-10"/>
        </w:rPr>
        <w:t>p</w:t>
      </w:r>
    </w:p>
    <w:p>
      <w:pPr>
        <w:pStyle w:val="BodyText"/>
        <w:ind w:left="23"/>
        <w:jc w:val="both"/>
      </w:pPr>
      <w:r>
        <w:rPr/>
        <w:t>=</w:t>
      </w:r>
      <w:r>
        <w:rPr>
          <w:spacing w:val="-1"/>
        </w:rPr>
        <w:t> </w:t>
      </w:r>
      <w:r>
        <w:rPr/>
        <w:t>0.002)</w:t>
      </w:r>
      <w:r>
        <w:rPr>
          <w:spacing w:val="-1"/>
        </w:rPr>
        <w:t> </w:t>
      </w:r>
      <w:r>
        <w:rPr/>
        <w:t>(Table </w:t>
      </w:r>
      <w:r>
        <w:rPr>
          <w:spacing w:val="-5"/>
        </w:rPr>
        <w:t>7).</w:t>
      </w:r>
    </w:p>
    <w:p>
      <w:pPr>
        <w:pStyle w:val="BodyText"/>
        <w:spacing w:line="360" w:lineRule="auto" w:before="137"/>
        <w:ind w:left="23" w:right="16"/>
        <w:jc w:val="both"/>
      </w:pPr>
      <w:r>
        <w:rPr/>
        <w:t>These findings underline critical clinical factors influencing patient outcomes, providing valuable insights into risk stratification and management strategies in individuals with severe right</w:t>
      </w:r>
      <w:r>
        <w:rPr>
          <w:spacing w:val="-1"/>
        </w:rPr>
        <w:t> </w:t>
      </w:r>
      <w:r>
        <w:rPr/>
        <w:t>heart</w:t>
      </w:r>
      <w:r>
        <w:rPr>
          <w:spacing w:val="-1"/>
        </w:rPr>
        <w:t> </w:t>
      </w:r>
      <w:r>
        <w:rPr/>
        <w:t>dysfunction</w:t>
      </w:r>
      <w:r>
        <w:rPr>
          <w:spacing w:val="-1"/>
        </w:rPr>
        <w:t> </w:t>
      </w:r>
      <w:r>
        <w:rPr/>
        <w:t>complicated</w:t>
      </w:r>
      <w:r>
        <w:rPr>
          <w:spacing w:val="-1"/>
        </w:rPr>
        <w:t> </w:t>
      </w:r>
      <w:r>
        <w:rPr/>
        <w:t>by</w:t>
      </w:r>
      <w:r>
        <w:rPr>
          <w:spacing w:val="-6"/>
        </w:rPr>
        <w:t> </w:t>
      </w:r>
      <w:r>
        <w:rPr/>
        <w:t>pulmonary</w:t>
      </w:r>
      <w:r>
        <w:rPr>
          <w:spacing w:val="-4"/>
        </w:rPr>
        <w:t> </w:t>
      </w:r>
      <w:r>
        <w:rPr/>
        <w:t>hypertension</w:t>
      </w:r>
      <w:r>
        <w:rPr>
          <w:spacing w:val="-1"/>
        </w:rPr>
        <w:t> </w:t>
      </w:r>
      <w:r>
        <w:rPr/>
        <w:t>and</w:t>
      </w:r>
      <w:r>
        <w:rPr>
          <w:spacing w:val="-1"/>
        </w:rPr>
        <w:t> </w:t>
      </w:r>
      <w:r>
        <w:rPr/>
        <w:t>associated</w:t>
      </w:r>
      <w:r>
        <w:rPr>
          <w:spacing w:val="-1"/>
        </w:rPr>
        <w:t> </w:t>
      </w:r>
      <w:r>
        <w:rPr/>
        <w:t>comorbidities.</w:t>
      </w:r>
    </w:p>
    <w:p>
      <w:pPr>
        <w:pStyle w:val="BodyText"/>
        <w:spacing w:before="143"/>
      </w:pPr>
    </w:p>
    <w:p>
      <w:pPr>
        <w:spacing w:before="1"/>
        <w:ind w:left="23" w:right="0" w:firstLine="0"/>
        <w:jc w:val="left"/>
        <w:rPr>
          <w:b/>
          <w:sz w:val="24"/>
        </w:rPr>
      </w:pPr>
      <w:r>
        <w:rPr>
          <w:b/>
          <w:spacing w:val="-2"/>
          <w:sz w:val="24"/>
        </w:rPr>
        <w:t>Discussion</w:t>
      </w:r>
    </w:p>
    <w:p>
      <w:pPr>
        <w:pStyle w:val="BodyText"/>
        <w:spacing w:line="360" w:lineRule="auto" w:before="134"/>
        <w:ind w:left="23" w:right="14"/>
        <w:jc w:val="both"/>
      </w:pPr>
      <w:r>
        <w:rPr/>
        <w:t>This study aimed to identify predictors of mortality in patients with right ventricular (RV) failure caused by pulmonary hypertension (PH). The findings revealed that factors such as advanced age, hyponatremia, elevated serum creatinine levels, high right atrial pressure (RAP), prolonged hospital stays, and chronic kidney disease (CKD) are independent risk factors for mortality. These outcomes were analyzed within the context of previous studies and associated pathophysiological mechanisms. Age was found to correlate with a 3% higher mortality risk per additional year (HR=1.03). This result reflects reduced physiological reserves, increased comorbidities such as diabetes, and weakened immune function in elderly patients. The finding aligns with prior research, including a study by Campo et al., (9) which reported higher mortality rates among older patients with PH caused by connective tissue disease (CTD). This underscores the importance of thorough screening and more aggressive management strategies for the elderly population.</w:t>
      </w:r>
    </w:p>
    <w:p>
      <w:pPr>
        <w:pStyle w:val="BodyText"/>
        <w:spacing w:line="360" w:lineRule="auto" w:before="1"/>
        <w:ind w:left="23" w:right="14"/>
        <w:jc w:val="both"/>
      </w:pPr>
      <w:r>
        <w:rPr/>
        <w:t>Hyponatremia emerged as one of the strongest risk factors (HR=2.89). Other studies have similarly linked hyponatremia with increased mortality risk. This condition may mirror the activation of the renin-angiotensin-aldosterone system (RAAS), leading to fluid retention, exacerbation of RV failure, and reduced renal blood flow. The result parallels findings by Haddad et al.,(10) who reported a 3.6-fold increased risk of 90-day mortality linked to hyponatremia. Excessive RAAS activity and elevated vasopressin levels could contribute to fluid retention, worsening RV dysfunction, and diminished kidney perfusion. These mechanisms suggest that correcting hyponatremia could help improve hemodynamics. Elevated serum creatinine levels (HR=1.25) and CKD (HR=2.10) were also identified as significant predictors (11).</w:t>
      </w:r>
    </w:p>
    <w:p>
      <w:pPr>
        <w:pStyle w:val="BodyText"/>
        <w:spacing w:line="360" w:lineRule="auto" w:before="1"/>
        <w:ind w:left="23" w:right="18"/>
        <w:jc w:val="both"/>
      </w:pPr>
      <w:r>
        <w:rPr/>
        <w:t>Research by Aronson et al.(12) has shown that renal dysfunction is associated with increased production</w:t>
      </w:r>
      <w:r>
        <w:rPr>
          <w:spacing w:val="34"/>
        </w:rPr>
        <w:t> </w:t>
      </w:r>
      <w:r>
        <w:rPr/>
        <w:t>of</w:t>
      </w:r>
      <w:r>
        <w:rPr>
          <w:spacing w:val="34"/>
        </w:rPr>
        <w:t> </w:t>
      </w:r>
      <w:r>
        <w:rPr/>
        <w:t>inflammatory</w:t>
      </w:r>
      <w:r>
        <w:rPr>
          <w:spacing w:val="31"/>
        </w:rPr>
        <w:t> </w:t>
      </w:r>
      <w:r>
        <w:rPr/>
        <w:t>cytokines</w:t>
      </w:r>
      <w:r>
        <w:rPr>
          <w:spacing w:val="34"/>
        </w:rPr>
        <w:t> </w:t>
      </w:r>
      <w:r>
        <w:rPr/>
        <w:t>(e.g.,</w:t>
      </w:r>
      <w:r>
        <w:rPr>
          <w:spacing w:val="38"/>
        </w:rPr>
        <w:t> </w:t>
      </w:r>
      <w:r>
        <w:rPr/>
        <w:t>IL-6,</w:t>
      </w:r>
      <w:r>
        <w:rPr>
          <w:spacing w:val="35"/>
        </w:rPr>
        <w:t> </w:t>
      </w:r>
      <w:r>
        <w:rPr/>
        <w:t>TNF-α)</w:t>
      </w:r>
      <w:r>
        <w:rPr>
          <w:spacing w:val="34"/>
        </w:rPr>
        <w:t> </w:t>
      </w:r>
      <w:r>
        <w:rPr/>
        <w:t>and</w:t>
      </w:r>
      <w:r>
        <w:rPr>
          <w:spacing w:val="34"/>
        </w:rPr>
        <w:t> </w:t>
      </w:r>
      <w:r>
        <w:rPr/>
        <w:t>the</w:t>
      </w:r>
      <w:r>
        <w:rPr>
          <w:spacing w:val="34"/>
        </w:rPr>
        <w:t> </w:t>
      </w:r>
      <w:r>
        <w:rPr/>
        <w:t>accumulation</w:t>
      </w:r>
      <w:r>
        <w:rPr>
          <w:spacing w:val="36"/>
        </w:rPr>
        <w:t> </w:t>
      </w:r>
      <w:r>
        <w:rPr/>
        <w:t>of</w:t>
      </w:r>
      <w:r>
        <w:rPr>
          <w:spacing w:val="34"/>
        </w:rPr>
        <w:t> </w:t>
      </w:r>
      <w:r>
        <w:rPr>
          <w:spacing w:val="-2"/>
        </w:rPr>
        <w:t>uremic</w:t>
      </w:r>
    </w:p>
    <w:p>
      <w:pPr>
        <w:pStyle w:val="BodyText"/>
        <w:spacing w:after="0" w:line="360" w:lineRule="auto"/>
        <w:jc w:val="both"/>
        <w:sectPr>
          <w:pgSz w:w="11910" w:h="16840"/>
          <w:pgMar w:top="1340" w:bottom="280" w:left="1417" w:right="1417"/>
        </w:sectPr>
      </w:pPr>
    </w:p>
    <w:p>
      <w:pPr>
        <w:pStyle w:val="BodyText"/>
        <w:spacing w:line="360" w:lineRule="auto" w:before="76"/>
        <w:ind w:left="23" w:right="16"/>
        <w:jc w:val="both"/>
      </w:pPr>
      <w:r>
        <w:rPr/>
        <w:t>toxins, both of which contribute to myocardial damage and RV failure. Additionally, CKD may reduce patients' responsiveness to standard PH treatments, such as PDE-5 inhibitors. High</w:t>
      </w:r>
      <w:r>
        <w:rPr>
          <w:spacing w:val="-3"/>
        </w:rPr>
        <w:t> </w:t>
      </w:r>
      <w:r>
        <w:rPr/>
        <w:t>RAP (HR=1.78)</w:t>
      </w:r>
      <w:r>
        <w:rPr>
          <w:spacing w:val="-1"/>
        </w:rPr>
        <w:t> </w:t>
      </w:r>
      <w:r>
        <w:rPr/>
        <w:t>indicates</w:t>
      </w:r>
      <w:r>
        <w:rPr>
          <w:spacing w:val="-3"/>
        </w:rPr>
        <w:t> </w:t>
      </w:r>
      <w:r>
        <w:rPr/>
        <w:t>impaired</w:t>
      </w:r>
      <w:r>
        <w:rPr>
          <w:spacing w:val="-3"/>
        </w:rPr>
        <w:t> </w:t>
      </w:r>
      <w:r>
        <w:rPr/>
        <w:t>RV</w:t>
      </w:r>
      <w:r>
        <w:rPr>
          <w:spacing w:val="-1"/>
        </w:rPr>
        <w:t> </w:t>
      </w:r>
      <w:r>
        <w:rPr/>
        <w:t>function</w:t>
      </w:r>
      <w:r>
        <w:rPr>
          <w:spacing w:val="-3"/>
        </w:rPr>
        <w:t> </w:t>
      </w:r>
      <w:r>
        <w:rPr/>
        <w:t>and</w:t>
      </w:r>
      <w:r>
        <w:rPr>
          <w:spacing w:val="-1"/>
        </w:rPr>
        <w:t> </w:t>
      </w:r>
      <w:r>
        <w:rPr/>
        <w:t>elevated</w:t>
      </w:r>
      <w:r>
        <w:rPr>
          <w:spacing w:val="-2"/>
        </w:rPr>
        <w:t> </w:t>
      </w:r>
      <w:r>
        <w:rPr/>
        <w:t>volume</w:t>
      </w:r>
      <w:r>
        <w:rPr>
          <w:spacing w:val="-4"/>
        </w:rPr>
        <w:t> </w:t>
      </w:r>
      <w:r>
        <w:rPr/>
        <w:t>load.</w:t>
      </w:r>
      <w:r>
        <w:rPr>
          <w:spacing w:val="-1"/>
        </w:rPr>
        <w:t> </w:t>
      </w:r>
      <w:r>
        <w:rPr/>
        <w:t>This</w:t>
      </w:r>
      <w:r>
        <w:rPr>
          <w:spacing w:val="-3"/>
        </w:rPr>
        <w:t> </w:t>
      </w:r>
      <w:r>
        <w:rPr/>
        <w:t>finding agrees with previous studies, such as Cassady et al., (13)which linked elevated RAP to myocardial ischemia and apoptotic pathway activation. Increased RAP can exacerbate blood pooling in venous compartments and impair the function of various organs.</w:t>
      </w:r>
    </w:p>
    <w:p>
      <w:pPr>
        <w:pStyle w:val="BodyText"/>
        <w:spacing w:line="360" w:lineRule="auto"/>
        <w:ind w:left="23" w:right="18"/>
        <w:jc w:val="both"/>
      </w:pPr>
      <w:r>
        <w:rPr/>
        <w:t>Prolonged hospital stays (HR=3.14) were identified as an independent risk factor for mortality. Extended hospitalization might result from hospital-acquired infections like ventilator-associated pneumonia, deep vein thromboses, or muscle weakness due to immobility. Prolonged stays could also indicate resistance to treatment in some patients.</w:t>
      </w:r>
    </w:p>
    <w:p>
      <w:pPr>
        <w:pStyle w:val="BodyText"/>
        <w:spacing w:line="360" w:lineRule="auto" w:before="1"/>
        <w:ind w:left="23" w:right="16"/>
        <w:jc w:val="both"/>
      </w:pPr>
      <w:r>
        <w:rPr/>
        <w:t>The outcomes of this study overlap significantly with earlier research in several areas. First, the</w:t>
      </w:r>
      <w:r>
        <w:rPr>
          <w:spacing w:val="-2"/>
        </w:rPr>
        <w:t> </w:t>
      </w:r>
      <w:r>
        <w:rPr/>
        <w:t>importance</w:t>
      </w:r>
      <w:r>
        <w:rPr>
          <w:spacing w:val="-2"/>
        </w:rPr>
        <w:t> </w:t>
      </w:r>
      <w:r>
        <w:rPr/>
        <w:t>of</w:t>
      </w:r>
      <w:r>
        <w:rPr>
          <w:spacing w:val="-2"/>
        </w:rPr>
        <w:t> </w:t>
      </w:r>
      <w:r>
        <w:rPr/>
        <w:t>hyponatremia</w:t>
      </w:r>
      <w:r>
        <w:rPr>
          <w:spacing w:val="-1"/>
        </w:rPr>
        <w:t> </w:t>
      </w:r>
      <w:r>
        <w:rPr/>
        <w:t>and</w:t>
      </w:r>
      <w:r>
        <w:rPr>
          <w:spacing w:val="-1"/>
        </w:rPr>
        <w:t> </w:t>
      </w:r>
      <w:r>
        <w:rPr/>
        <w:t>renal dysfunction, as</w:t>
      </w:r>
      <w:r>
        <w:rPr>
          <w:spacing w:val="-1"/>
        </w:rPr>
        <w:t> </w:t>
      </w:r>
      <w:r>
        <w:rPr/>
        <w:t>confirmed</w:t>
      </w:r>
      <w:r>
        <w:rPr>
          <w:spacing w:val="-1"/>
        </w:rPr>
        <w:t> </w:t>
      </w:r>
      <w:r>
        <w:rPr/>
        <w:t>by</w:t>
      </w:r>
      <w:r>
        <w:rPr>
          <w:spacing w:val="-5"/>
        </w:rPr>
        <w:t> </w:t>
      </w:r>
      <w:r>
        <w:rPr/>
        <w:t>findings</w:t>
      </w:r>
      <w:r>
        <w:rPr>
          <w:spacing w:val="-1"/>
        </w:rPr>
        <w:t> </w:t>
      </w:r>
      <w:r>
        <w:rPr/>
        <w:t>from</w:t>
      </w:r>
      <w:r>
        <w:rPr>
          <w:spacing w:val="-1"/>
        </w:rPr>
        <w:t> </w:t>
      </w:r>
      <w:r>
        <w:rPr/>
        <w:t>Campo et al. and Haddad et al., (10, 14) underscores their critical predictive role. Second, RAP's significance, previously highlighted by Aronson et al., (12) continues to emphasize its value in assessing RV function. However, this study places unique emphasis on prolonged hospital stays as a strong independent risk factor—an area warranting further exploration.</w:t>
      </w:r>
    </w:p>
    <w:p>
      <w:pPr>
        <w:pStyle w:val="BodyText"/>
        <w:spacing w:line="360" w:lineRule="auto" w:before="1"/>
        <w:ind w:left="23" w:right="18"/>
        <w:jc w:val="both"/>
      </w:pPr>
      <w:r>
        <w:rPr/>
        <w:t>Given these results, frequent monitoring of electrolytes (especially</w:t>
      </w:r>
      <w:r>
        <w:rPr>
          <w:spacing w:val="-1"/>
        </w:rPr>
        <w:t> </w:t>
      </w:r>
      <w:r>
        <w:rPr/>
        <w:t>sodium), the utilization of kidney biomarkers for early diagnosis, preventive strategies to reduce hospital stays, and continuous evaluation of hemodynamics appear crucial in improving outcomes for these patients. Several limitations should be acknowledged. The relatively small sample size (62 patients) may have hampered the identification of risk factors with smaller effects. In addition,</w:t>
      </w:r>
      <w:r>
        <w:rPr>
          <w:spacing w:val="-1"/>
        </w:rPr>
        <w:t> </w:t>
      </w:r>
      <w:r>
        <w:rPr/>
        <w:t>the</w:t>
      </w:r>
      <w:r>
        <w:rPr>
          <w:spacing w:val="-2"/>
        </w:rPr>
        <w:t> </w:t>
      </w:r>
      <w:r>
        <w:rPr/>
        <w:t>study</w:t>
      </w:r>
      <w:r>
        <w:rPr>
          <w:spacing w:val="-6"/>
        </w:rPr>
        <w:t> </w:t>
      </w:r>
      <w:r>
        <w:rPr/>
        <w:t>did</w:t>
      </w:r>
      <w:r>
        <w:rPr>
          <w:spacing w:val="-1"/>
        </w:rPr>
        <w:t> </w:t>
      </w:r>
      <w:r>
        <w:rPr/>
        <w:t>not assess</w:t>
      </w:r>
      <w:r>
        <w:rPr>
          <w:spacing w:val="-1"/>
        </w:rPr>
        <w:t> </w:t>
      </w:r>
      <w:r>
        <w:rPr/>
        <w:t>the influence</w:t>
      </w:r>
      <w:r>
        <w:rPr>
          <w:spacing w:val="-2"/>
        </w:rPr>
        <w:t> </w:t>
      </w:r>
      <w:r>
        <w:rPr/>
        <w:t>of</w:t>
      </w:r>
      <w:r>
        <w:rPr>
          <w:spacing w:val="-2"/>
        </w:rPr>
        <w:t> </w:t>
      </w:r>
      <w:r>
        <w:rPr/>
        <w:t>specific PH</w:t>
      </w:r>
      <w:r>
        <w:rPr>
          <w:spacing w:val="-2"/>
        </w:rPr>
        <w:t> </w:t>
      </w:r>
      <w:r>
        <w:rPr/>
        <w:t>treatments, such</w:t>
      </w:r>
      <w:r>
        <w:rPr>
          <w:spacing w:val="-1"/>
        </w:rPr>
        <w:t> </w:t>
      </w:r>
      <w:r>
        <w:rPr/>
        <w:t>as prostacyclin analogs,</w:t>
      </w:r>
      <w:r>
        <w:rPr>
          <w:spacing w:val="-1"/>
        </w:rPr>
        <w:t> </w:t>
      </w:r>
      <w:r>
        <w:rPr/>
        <w:t>on clinical outcomes.</w:t>
      </w:r>
      <w:r>
        <w:rPr>
          <w:spacing w:val="-1"/>
        </w:rPr>
        <w:t> </w:t>
      </w:r>
      <w:r>
        <w:rPr/>
        <w:t>Furthermore, detailed</w:t>
      </w:r>
      <w:r>
        <w:rPr>
          <w:spacing w:val="-1"/>
        </w:rPr>
        <w:t> </w:t>
      </w:r>
      <w:r>
        <w:rPr/>
        <w:t>information regarding</w:t>
      </w:r>
      <w:r>
        <w:rPr>
          <w:spacing w:val="-2"/>
        </w:rPr>
        <w:t> </w:t>
      </w:r>
      <w:r>
        <w:rPr/>
        <w:t>underlying</w:t>
      </w:r>
      <w:r>
        <w:rPr>
          <w:spacing w:val="-3"/>
        </w:rPr>
        <w:t> </w:t>
      </w:r>
      <w:r>
        <w:rPr/>
        <w:t>causes of PH—such as connective tissue disorders or congenital defects—was lacking.</w:t>
      </w:r>
    </w:p>
    <w:p>
      <w:pPr>
        <w:pStyle w:val="BodyText"/>
        <w:spacing w:after="0" w:line="360" w:lineRule="auto"/>
        <w:jc w:val="both"/>
        <w:sectPr>
          <w:pgSz w:w="11910" w:h="16840"/>
          <w:pgMar w:top="1340" w:bottom="280" w:left="1417" w:right="1417"/>
        </w:sectPr>
      </w:pPr>
    </w:p>
    <w:p>
      <w:pPr>
        <w:spacing w:before="61"/>
        <w:ind w:left="23" w:right="0" w:firstLine="0"/>
        <w:jc w:val="left"/>
        <w:rPr>
          <w:b/>
          <w:sz w:val="24"/>
        </w:rPr>
      </w:pPr>
      <w:r>
        <w:rPr>
          <w:b/>
          <w:spacing w:val="-2"/>
          <w:sz w:val="24"/>
        </w:rPr>
        <w:t>References</w:t>
      </w:r>
    </w:p>
    <w:p>
      <w:pPr>
        <w:pStyle w:val="BodyText"/>
        <w:spacing w:before="237"/>
        <w:rPr>
          <w:b/>
        </w:rPr>
      </w:pPr>
    </w:p>
    <w:p>
      <w:pPr>
        <w:pStyle w:val="ListParagraph"/>
        <w:numPr>
          <w:ilvl w:val="0"/>
          <w:numId w:val="1"/>
        </w:numPr>
        <w:tabs>
          <w:tab w:pos="742" w:val="left" w:leader="none"/>
        </w:tabs>
        <w:spacing w:line="240" w:lineRule="auto" w:before="0" w:after="0"/>
        <w:ind w:left="450" w:right="18" w:firstLine="0"/>
        <w:jc w:val="both"/>
        <w:rPr>
          <w:sz w:val="22"/>
        </w:rPr>
      </w:pPr>
      <w:r>
        <w:rPr>
          <w:sz w:val="22"/>
        </w:rPr>
        <w:t>Galiè N, Humbert M, Vachiery JL, Gibbs S, Lang I, Torbicki A, et al. 2015 ESC/ERS Guidelines for the diagnosis and treatment of pulmonary hypertension: The Joint Task Force for the Diagnosis and Treatment of Pulmonary Hypertension of the European Society of Cardiology (ESC) and the European Respiratory Society (ERS): Endorsed by: Association for European Paediatric and Congenital Cardiology (AEPC), International Society for Heart and Lung Transplantation (ISHLT). Eur Heart J. 2016;37(1):67-119.</w:t>
      </w:r>
    </w:p>
    <w:p>
      <w:pPr>
        <w:pStyle w:val="ListParagraph"/>
        <w:numPr>
          <w:ilvl w:val="0"/>
          <w:numId w:val="1"/>
        </w:numPr>
        <w:tabs>
          <w:tab w:pos="742" w:val="left" w:leader="none"/>
        </w:tabs>
        <w:spacing w:line="240" w:lineRule="auto" w:before="0" w:after="0"/>
        <w:ind w:left="450" w:right="20" w:firstLine="0"/>
        <w:jc w:val="both"/>
        <w:rPr>
          <w:sz w:val="22"/>
        </w:rPr>
      </w:pPr>
      <w:r>
        <w:rPr>
          <w:sz w:val="22"/>
        </w:rPr>
        <w:t>Hoeper MM, Humbert M, Souza R, Idrees M, Kawut SM, Sliwa-Hahnle K, et al. A global view of pulmonary hypertension. The Lancet Respiratory Medicine. 2016;4(4):306-22.</w:t>
      </w:r>
    </w:p>
    <w:p>
      <w:pPr>
        <w:pStyle w:val="ListParagraph"/>
        <w:numPr>
          <w:ilvl w:val="0"/>
          <w:numId w:val="1"/>
        </w:numPr>
        <w:tabs>
          <w:tab w:pos="742" w:val="left" w:leader="none"/>
        </w:tabs>
        <w:spacing w:line="240" w:lineRule="auto" w:before="0" w:after="0"/>
        <w:ind w:left="450" w:right="20" w:firstLine="0"/>
        <w:jc w:val="both"/>
        <w:rPr>
          <w:sz w:val="22"/>
        </w:rPr>
      </w:pPr>
      <w:r>
        <w:rPr>
          <w:sz w:val="22"/>
        </w:rPr>
        <w:t>Hoeper MM, Humbert M, Souza R, Idrees M, Kawut SM, Sliwa-Hahnle K, et al. A global view of pulmonary hypertension. Lancet Respir Med. 2016;4(4):306-22.</w:t>
      </w:r>
    </w:p>
    <w:p>
      <w:pPr>
        <w:pStyle w:val="ListParagraph"/>
        <w:numPr>
          <w:ilvl w:val="0"/>
          <w:numId w:val="1"/>
        </w:numPr>
        <w:tabs>
          <w:tab w:pos="742" w:val="left" w:leader="none"/>
        </w:tabs>
        <w:spacing w:line="240" w:lineRule="auto" w:before="0" w:after="0"/>
        <w:ind w:left="450" w:right="18" w:firstLine="0"/>
        <w:jc w:val="both"/>
        <w:rPr>
          <w:sz w:val="22"/>
        </w:rPr>
      </w:pPr>
      <w:r>
        <w:rPr>
          <w:sz w:val="22"/>
        </w:rPr>
        <w:t>Boucly A, Savale L, Jaïs X, Bauer F, Bergot E, Bertoletti L, et al. Association between initial treatment strategy and long-term survival in pulmonary arterial hypertension. American journal</w:t>
      </w:r>
      <w:r>
        <w:rPr>
          <w:spacing w:val="40"/>
          <w:sz w:val="22"/>
        </w:rPr>
        <w:t> </w:t>
      </w:r>
      <w:r>
        <w:rPr>
          <w:sz w:val="22"/>
        </w:rPr>
        <w:t>of respiratory and critical care medicine. 2021;204(7):842-54.</w:t>
      </w:r>
    </w:p>
    <w:p>
      <w:pPr>
        <w:pStyle w:val="ListParagraph"/>
        <w:numPr>
          <w:ilvl w:val="0"/>
          <w:numId w:val="1"/>
        </w:numPr>
        <w:tabs>
          <w:tab w:pos="742" w:val="left" w:leader="none"/>
        </w:tabs>
        <w:spacing w:line="240" w:lineRule="auto" w:before="0" w:after="0"/>
        <w:ind w:left="450" w:right="19" w:firstLine="0"/>
        <w:jc w:val="both"/>
        <w:rPr>
          <w:sz w:val="22"/>
        </w:rPr>
      </w:pPr>
      <w:r>
        <w:rPr>
          <w:sz w:val="22"/>
        </w:rPr>
        <w:t>Simonneau G, Robbins IM, Beghetti M, Channick RN, Delcroix M, Denton CP, et al.</w:t>
      </w:r>
      <w:r>
        <w:rPr>
          <w:spacing w:val="40"/>
          <w:sz w:val="22"/>
        </w:rPr>
        <w:t> </w:t>
      </w:r>
      <w:r>
        <w:rPr>
          <w:sz w:val="22"/>
        </w:rPr>
        <w:t>Updated clinical classification of pulmonary hypertension. Journal of the American college of cardiology. 2009;54(1_Supplement_S):S43-S54.</w:t>
      </w:r>
    </w:p>
    <w:p>
      <w:pPr>
        <w:pStyle w:val="ListParagraph"/>
        <w:numPr>
          <w:ilvl w:val="0"/>
          <w:numId w:val="1"/>
        </w:numPr>
        <w:tabs>
          <w:tab w:pos="742" w:val="left" w:leader="none"/>
        </w:tabs>
        <w:spacing w:line="240" w:lineRule="auto" w:before="0" w:after="0"/>
        <w:ind w:left="450" w:right="20" w:firstLine="0"/>
        <w:jc w:val="both"/>
        <w:rPr>
          <w:sz w:val="22"/>
        </w:rPr>
      </w:pPr>
      <w:r>
        <w:rPr>
          <w:sz w:val="22"/>
        </w:rPr>
        <w:t>Galie N, Hoeper MM, Humbert M, Torbicki A, Vachiery J-L, Barbera JA, et al. Guidelines</w:t>
      </w:r>
      <w:r>
        <w:rPr>
          <w:spacing w:val="40"/>
          <w:sz w:val="22"/>
        </w:rPr>
        <w:t> </w:t>
      </w:r>
      <w:r>
        <w:rPr>
          <w:sz w:val="22"/>
        </w:rPr>
        <w:t>for the diagnosis and treatment of pulmonary hypertension: the Task Force for the Diagnosis and Treatment of Pulmonary Hypertension of the European Society of Cardiology (ESC) and the European Respiratory Society (ERS), endorsed by the International Society of Heart and Lung Transplantation (ISHLT). European heart journal. 2009;30(20):2493-537.</w:t>
      </w:r>
    </w:p>
    <w:p>
      <w:pPr>
        <w:pStyle w:val="ListParagraph"/>
        <w:numPr>
          <w:ilvl w:val="0"/>
          <w:numId w:val="1"/>
        </w:numPr>
        <w:tabs>
          <w:tab w:pos="742" w:val="left" w:leader="none"/>
        </w:tabs>
        <w:spacing w:line="240" w:lineRule="auto" w:before="0" w:after="0"/>
        <w:ind w:left="450" w:right="23" w:firstLine="0"/>
        <w:jc w:val="both"/>
        <w:rPr>
          <w:sz w:val="22"/>
        </w:rPr>
      </w:pPr>
      <w:r>
        <w:rPr>
          <w:sz w:val="22"/>
        </w:rPr>
        <w:t>Westerhof BE, Saouti N, Van Der Laarse WJ, Westerhof N, Vonk Noordegraaf A. Treatment strategies for the right heart in pulmonary hypertension. Cardiovascular Research. </w:t>
      </w:r>
      <w:r>
        <w:rPr>
          <w:spacing w:val="-2"/>
          <w:sz w:val="22"/>
        </w:rPr>
        <w:t>2017;113(12):1465-73.</w:t>
      </w:r>
    </w:p>
    <w:p>
      <w:pPr>
        <w:pStyle w:val="ListParagraph"/>
        <w:numPr>
          <w:ilvl w:val="0"/>
          <w:numId w:val="1"/>
        </w:numPr>
        <w:tabs>
          <w:tab w:pos="742" w:val="left" w:leader="none"/>
        </w:tabs>
        <w:spacing w:line="240" w:lineRule="auto" w:before="0" w:after="0"/>
        <w:ind w:left="450" w:right="24" w:firstLine="0"/>
        <w:jc w:val="both"/>
        <w:rPr>
          <w:sz w:val="22"/>
        </w:rPr>
      </w:pPr>
      <w:r>
        <w:rPr>
          <w:sz w:val="22"/>
        </w:rPr>
        <w:t>Adusumalli S, Mazurek JA. Pulmonary hypertension due to left ventricular cardiomyopathy: is it the result or cause of disease progression? Current heart failure reports. 2017;14:507-13.</w:t>
      </w:r>
    </w:p>
    <w:p>
      <w:pPr>
        <w:pStyle w:val="ListParagraph"/>
        <w:numPr>
          <w:ilvl w:val="0"/>
          <w:numId w:val="1"/>
        </w:numPr>
        <w:tabs>
          <w:tab w:pos="742" w:val="left" w:leader="none"/>
        </w:tabs>
        <w:spacing w:line="240" w:lineRule="auto" w:before="0" w:after="0"/>
        <w:ind w:left="450" w:right="19" w:firstLine="0"/>
        <w:jc w:val="both"/>
        <w:rPr>
          <w:sz w:val="22"/>
        </w:rPr>
      </w:pPr>
      <w:r>
        <w:rPr>
          <w:sz w:val="22"/>
        </w:rPr>
        <w:t>Campo A, Mathai SC, Pavec JL, Zaiman AL, Hummers LK, Boyce D, et al. Outcomes of hospitalisation for right heart failure in pulmonary arterial hypertension. European Respiratory Journal. 2011;38(2):359-67.</w:t>
      </w:r>
    </w:p>
    <w:p>
      <w:pPr>
        <w:pStyle w:val="ListParagraph"/>
        <w:numPr>
          <w:ilvl w:val="0"/>
          <w:numId w:val="1"/>
        </w:numPr>
        <w:tabs>
          <w:tab w:pos="742" w:val="left" w:leader="none"/>
        </w:tabs>
        <w:spacing w:line="240" w:lineRule="auto" w:before="0" w:after="0"/>
        <w:ind w:left="450" w:right="26" w:firstLine="0"/>
        <w:jc w:val="both"/>
        <w:rPr>
          <w:sz w:val="22"/>
        </w:rPr>
      </w:pPr>
      <w:r>
        <w:rPr>
          <w:sz w:val="22"/>
        </w:rPr>
        <w:t>Haddad F, Peterson T, Fuh E, Kudelko KT, de Jesus Perez V, Skhiri M, et al. Characteristics and outcome after hospitalization for acute right heart failure in patients with pulmonary arterial hypertension. Circulation Heart failure. 2011;4(6):692-9.</w:t>
      </w:r>
    </w:p>
    <w:p>
      <w:pPr>
        <w:pStyle w:val="ListParagraph"/>
        <w:numPr>
          <w:ilvl w:val="0"/>
          <w:numId w:val="1"/>
        </w:numPr>
        <w:tabs>
          <w:tab w:pos="742" w:val="left" w:leader="none"/>
        </w:tabs>
        <w:spacing w:line="240" w:lineRule="auto" w:before="1" w:after="0"/>
        <w:ind w:left="450" w:right="23" w:firstLine="0"/>
        <w:jc w:val="both"/>
        <w:rPr>
          <w:sz w:val="22"/>
        </w:rPr>
      </w:pPr>
      <w:r>
        <w:rPr>
          <w:sz w:val="22"/>
        </w:rPr>
        <w:t>Mocumbi A, Humbert M, Saxena A, Jing ZC, Sliwa K, Thienemann F, et al. Pulmonary hypertension. Nature reviews Disease primers. 2024;10(1):1.</w:t>
      </w:r>
    </w:p>
    <w:p>
      <w:pPr>
        <w:pStyle w:val="ListParagraph"/>
        <w:numPr>
          <w:ilvl w:val="0"/>
          <w:numId w:val="1"/>
        </w:numPr>
        <w:tabs>
          <w:tab w:pos="742" w:val="left" w:leader="none"/>
        </w:tabs>
        <w:spacing w:line="240" w:lineRule="auto" w:before="0" w:after="0"/>
        <w:ind w:left="450" w:right="23" w:firstLine="0"/>
        <w:jc w:val="both"/>
        <w:rPr>
          <w:sz w:val="22"/>
        </w:rPr>
      </w:pPr>
      <w:r>
        <w:rPr>
          <w:sz w:val="22"/>
        </w:rPr>
        <w:t>Aronson D, Darawsha W, Atamna A, Kaplan M, Makhoul BF, Mutlak D, et al. Pulmonary hypertension, right ventricular function, and clinical outcome in acute decompensated heart failure. Journal of cardiac failure. 2013;19(10):665-71.</w:t>
      </w:r>
    </w:p>
    <w:p>
      <w:pPr>
        <w:pStyle w:val="ListParagraph"/>
        <w:numPr>
          <w:ilvl w:val="0"/>
          <w:numId w:val="1"/>
        </w:numPr>
        <w:tabs>
          <w:tab w:pos="742" w:val="left" w:leader="none"/>
        </w:tabs>
        <w:spacing w:line="240" w:lineRule="auto" w:before="0" w:after="0"/>
        <w:ind w:left="450" w:right="22" w:firstLine="0"/>
        <w:jc w:val="both"/>
        <w:rPr>
          <w:sz w:val="22"/>
        </w:rPr>
      </w:pPr>
      <w:r>
        <w:rPr>
          <w:sz w:val="22"/>
        </w:rPr>
        <w:t>Cassady</w:t>
      </w:r>
      <w:r>
        <w:rPr>
          <w:spacing w:val="-6"/>
          <w:sz w:val="22"/>
        </w:rPr>
        <w:t> </w:t>
      </w:r>
      <w:r>
        <w:rPr>
          <w:sz w:val="22"/>
        </w:rPr>
        <w:t>SJ,</w:t>
      </w:r>
      <w:r>
        <w:rPr>
          <w:spacing w:val="-3"/>
          <w:sz w:val="22"/>
        </w:rPr>
        <w:t> </w:t>
      </w:r>
      <w:r>
        <w:rPr>
          <w:sz w:val="22"/>
        </w:rPr>
        <w:t>Ramani</w:t>
      </w:r>
      <w:r>
        <w:rPr>
          <w:spacing w:val="-2"/>
          <w:sz w:val="22"/>
        </w:rPr>
        <w:t> </w:t>
      </w:r>
      <w:r>
        <w:rPr>
          <w:sz w:val="22"/>
        </w:rPr>
        <w:t>GV.</w:t>
      </w:r>
      <w:r>
        <w:rPr>
          <w:spacing w:val="-3"/>
          <w:sz w:val="22"/>
        </w:rPr>
        <w:t> </w:t>
      </w:r>
      <w:r>
        <w:rPr>
          <w:sz w:val="22"/>
        </w:rPr>
        <w:t>Right</w:t>
      </w:r>
      <w:r>
        <w:rPr>
          <w:spacing w:val="-2"/>
          <w:sz w:val="22"/>
        </w:rPr>
        <w:t> </w:t>
      </w:r>
      <w:r>
        <w:rPr>
          <w:sz w:val="22"/>
        </w:rPr>
        <w:t>Heart</w:t>
      </w:r>
      <w:r>
        <w:rPr>
          <w:spacing w:val="-2"/>
          <w:sz w:val="22"/>
        </w:rPr>
        <w:t> </w:t>
      </w:r>
      <w:r>
        <w:rPr>
          <w:sz w:val="22"/>
        </w:rPr>
        <w:t>Failure</w:t>
      </w:r>
      <w:r>
        <w:rPr>
          <w:spacing w:val="-5"/>
          <w:sz w:val="22"/>
        </w:rPr>
        <w:t> </w:t>
      </w:r>
      <w:r>
        <w:rPr>
          <w:sz w:val="22"/>
        </w:rPr>
        <w:t>in</w:t>
      </w:r>
      <w:r>
        <w:rPr>
          <w:spacing w:val="-3"/>
          <w:sz w:val="22"/>
        </w:rPr>
        <w:t> </w:t>
      </w:r>
      <w:r>
        <w:rPr>
          <w:sz w:val="22"/>
        </w:rPr>
        <w:t>Pulmonary</w:t>
      </w:r>
      <w:r>
        <w:rPr>
          <w:spacing w:val="-6"/>
          <w:sz w:val="22"/>
        </w:rPr>
        <w:t> </w:t>
      </w:r>
      <w:r>
        <w:rPr>
          <w:sz w:val="22"/>
        </w:rPr>
        <w:t>Hypertension.</w:t>
      </w:r>
      <w:r>
        <w:rPr>
          <w:spacing w:val="-3"/>
          <w:sz w:val="22"/>
        </w:rPr>
        <w:t> </w:t>
      </w:r>
      <w:r>
        <w:rPr>
          <w:sz w:val="22"/>
        </w:rPr>
        <w:t>Cardiology</w:t>
      </w:r>
      <w:r>
        <w:rPr>
          <w:spacing w:val="-6"/>
          <w:sz w:val="22"/>
        </w:rPr>
        <w:t> </w:t>
      </w:r>
      <w:r>
        <w:rPr>
          <w:sz w:val="22"/>
        </w:rPr>
        <w:t>Clinics. </w:t>
      </w:r>
      <w:r>
        <w:rPr>
          <w:spacing w:val="-2"/>
          <w:sz w:val="22"/>
        </w:rPr>
        <w:t>2020;38(2):243-55.</w:t>
      </w:r>
    </w:p>
    <w:p>
      <w:pPr>
        <w:pStyle w:val="ListParagraph"/>
        <w:numPr>
          <w:ilvl w:val="0"/>
          <w:numId w:val="1"/>
        </w:numPr>
        <w:tabs>
          <w:tab w:pos="742" w:val="left" w:leader="none"/>
        </w:tabs>
        <w:spacing w:line="240" w:lineRule="auto" w:before="0" w:after="0"/>
        <w:ind w:left="450" w:right="19" w:firstLine="0"/>
        <w:jc w:val="both"/>
        <w:rPr>
          <w:sz w:val="22"/>
        </w:rPr>
      </w:pPr>
      <w:r>
        <w:rPr>
          <w:sz w:val="22"/>
        </w:rPr>
        <w:t>Campo A, Mathai SC, Le Pavec J, Zaiman AL, Hummers LK, Boyce D, et al. Outcomes of hospitalisation for right heart failure in pulmonary arterial hypertension. The European respiratory journal. 2011;38(2):359-67.</w:t>
      </w:r>
    </w:p>
    <w:p>
      <w:pPr>
        <w:pStyle w:val="ListParagraph"/>
        <w:spacing w:after="0" w:line="240" w:lineRule="auto"/>
        <w:jc w:val="both"/>
        <w:rPr>
          <w:sz w:val="22"/>
        </w:rPr>
        <w:sectPr>
          <w:pgSz w:w="11910" w:h="16840"/>
          <w:pgMar w:top="1360" w:bottom="280" w:left="1417" w:right="1417"/>
        </w:sectPr>
      </w:pPr>
    </w:p>
    <w:p>
      <w:pPr>
        <w:pStyle w:val="BodyText"/>
        <w:spacing w:before="12"/>
      </w:pPr>
    </w:p>
    <w:p>
      <w:pPr>
        <w:spacing w:before="0"/>
        <w:ind w:left="23" w:right="0" w:firstLine="0"/>
        <w:jc w:val="left"/>
        <w:rPr>
          <w:b/>
          <w:sz w:val="24"/>
        </w:rPr>
      </w:pPr>
      <w:r>
        <w:rPr>
          <w:b/>
          <w:sz w:val="24"/>
        </w:rPr>
        <w:t>Table</w:t>
      </w:r>
      <w:r>
        <w:rPr>
          <w:b/>
          <w:spacing w:val="-4"/>
          <w:sz w:val="24"/>
        </w:rPr>
        <w:t> </w:t>
      </w:r>
      <w:r>
        <w:rPr>
          <w:b/>
          <w:sz w:val="24"/>
        </w:rPr>
        <w:t>1:</w:t>
      </w:r>
      <w:r>
        <w:rPr>
          <w:b/>
          <w:spacing w:val="-5"/>
          <w:sz w:val="24"/>
        </w:rPr>
        <w:t> </w:t>
      </w:r>
      <w:r>
        <w:rPr>
          <w:b/>
          <w:sz w:val="24"/>
        </w:rPr>
        <w:t>Demographic</w:t>
      </w:r>
      <w:r>
        <w:rPr>
          <w:b/>
          <w:spacing w:val="-2"/>
          <w:sz w:val="24"/>
        </w:rPr>
        <w:t> </w:t>
      </w:r>
      <w:r>
        <w:rPr>
          <w:b/>
          <w:sz w:val="24"/>
        </w:rPr>
        <w:t>and</w:t>
      </w:r>
      <w:r>
        <w:rPr>
          <w:b/>
          <w:spacing w:val="-3"/>
          <w:sz w:val="24"/>
        </w:rPr>
        <w:t> </w:t>
      </w:r>
      <w:r>
        <w:rPr>
          <w:b/>
          <w:sz w:val="24"/>
        </w:rPr>
        <w:t>Socioeconomic</w:t>
      </w:r>
      <w:r>
        <w:rPr>
          <w:b/>
          <w:spacing w:val="-3"/>
          <w:sz w:val="24"/>
        </w:rPr>
        <w:t> </w:t>
      </w:r>
      <w:r>
        <w:rPr>
          <w:b/>
          <w:spacing w:val="-2"/>
          <w:sz w:val="24"/>
        </w:rPr>
        <w:t>Characteristics</w:t>
      </w:r>
    </w:p>
    <w:p>
      <w:pPr>
        <w:pStyle w:val="BodyText"/>
        <w:rPr>
          <w:b/>
          <w:sz w:val="18"/>
        </w:rPr>
      </w:pP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1981"/>
        <w:gridCol w:w="1201"/>
      </w:tblGrid>
      <w:tr>
        <w:trPr>
          <w:trHeight w:val="530" w:hRule="atLeast"/>
        </w:trPr>
        <w:tc>
          <w:tcPr>
            <w:tcW w:w="1188" w:type="dxa"/>
          </w:tcPr>
          <w:p>
            <w:pPr>
              <w:pStyle w:val="TableParagraph"/>
              <w:spacing w:before="149"/>
              <w:ind w:left="4"/>
              <w:rPr>
                <w:b/>
                <w:sz w:val="20"/>
              </w:rPr>
            </w:pPr>
            <w:r>
              <w:rPr>
                <w:b/>
                <w:spacing w:val="-2"/>
                <w:sz w:val="20"/>
              </w:rPr>
              <w:t>Variable</w:t>
            </w:r>
          </w:p>
        </w:tc>
        <w:tc>
          <w:tcPr>
            <w:tcW w:w="1981" w:type="dxa"/>
          </w:tcPr>
          <w:p>
            <w:pPr>
              <w:pStyle w:val="TableParagraph"/>
              <w:spacing w:before="149"/>
              <w:rPr>
                <w:b/>
                <w:sz w:val="20"/>
              </w:rPr>
            </w:pPr>
            <w:r>
              <w:rPr>
                <w:b/>
                <w:spacing w:val="-2"/>
                <w:sz w:val="20"/>
              </w:rPr>
              <w:t>Category</w:t>
            </w:r>
          </w:p>
        </w:tc>
        <w:tc>
          <w:tcPr>
            <w:tcW w:w="1201" w:type="dxa"/>
          </w:tcPr>
          <w:p>
            <w:pPr>
              <w:pStyle w:val="TableParagraph"/>
              <w:spacing w:before="149"/>
              <w:ind w:left="148"/>
              <w:rPr>
                <w:b/>
                <w:sz w:val="20"/>
              </w:rPr>
            </w:pPr>
            <w:r>
              <w:rPr>
                <w:b/>
                <w:sz w:val="20"/>
              </w:rPr>
              <w:t>n</w:t>
            </w:r>
            <w:r>
              <w:rPr>
                <w:b/>
                <w:spacing w:val="-3"/>
                <w:sz w:val="20"/>
              </w:rPr>
              <w:t> </w:t>
            </w:r>
            <w:r>
              <w:rPr>
                <w:b/>
                <w:spacing w:val="-5"/>
                <w:sz w:val="20"/>
              </w:rPr>
              <w:t>(%)</w:t>
            </w:r>
          </w:p>
        </w:tc>
      </w:tr>
      <w:tr>
        <w:trPr>
          <w:trHeight w:val="530" w:hRule="atLeast"/>
        </w:trPr>
        <w:tc>
          <w:tcPr>
            <w:tcW w:w="1188" w:type="dxa"/>
          </w:tcPr>
          <w:p>
            <w:pPr>
              <w:pStyle w:val="TableParagraph"/>
              <w:spacing w:before="144"/>
              <w:ind w:left="4"/>
              <w:rPr>
                <w:sz w:val="20"/>
              </w:rPr>
            </w:pPr>
            <w:r>
              <w:rPr>
                <w:spacing w:val="-5"/>
                <w:sz w:val="20"/>
              </w:rPr>
              <w:t>Sex</w:t>
            </w:r>
          </w:p>
        </w:tc>
        <w:tc>
          <w:tcPr>
            <w:tcW w:w="1981" w:type="dxa"/>
          </w:tcPr>
          <w:p>
            <w:pPr>
              <w:pStyle w:val="TableParagraph"/>
              <w:spacing w:before="144"/>
              <w:rPr>
                <w:sz w:val="20"/>
              </w:rPr>
            </w:pPr>
            <w:r>
              <w:rPr>
                <w:spacing w:val="-2"/>
                <w:sz w:val="20"/>
              </w:rPr>
              <w:t>Female</w:t>
            </w:r>
          </w:p>
        </w:tc>
        <w:tc>
          <w:tcPr>
            <w:tcW w:w="1201" w:type="dxa"/>
          </w:tcPr>
          <w:p>
            <w:pPr>
              <w:pStyle w:val="TableParagraph"/>
              <w:spacing w:before="144"/>
              <w:ind w:left="148"/>
              <w:rPr>
                <w:sz w:val="20"/>
              </w:rPr>
            </w:pPr>
            <w:r>
              <w:rPr>
                <w:sz w:val="20"/>
              </w:rPr>
              <w:t>36 </w:t>
            </w:r>
            <w:r>
              <w:rPr>
                <w:spacing w:val="-2"/>
                <w:sz w:val="20"/>
              </w:rPr>
              <w:t>(58.1%)</w:t>
            </w:r>
          </w:p>
        </w:tc>
      </w:tr>
      <w:tr>
        <w:trPr>
          <w:trHeight w:val="530" w:hRule="atLeast"/>
        </w:trPr>
        <w:tc>
          <w:tcPr>
            <w:tcW w:w="1188" w:type="dxa"/>
          </w:tcPr>
          <w:p>
            <w:pPr>
              <w:pStyle w:val="TableParagraph"/>
              <w:spacing w:before="0"/>
              <w:ind w:left="0"/>
              <w:rPr>
                <w:sz w:val="20"/>
              </w:rPr>
            </w:pPr>
          </w:p>
        </w:tc>
        <w:tc>
          <w:tcPr>
            <w:tcW w:w="1981" w:type="dxa"/>
          </w:tcPr>
          <w:p>
            <w:pPr>
              <w:pStyle w:val="TableParagraph"/>
              <w:spacing w:before="144"/>
              <w:rPr>
                <w:sz w:val="20"/>
              </w:rPr>
            </w:pPr>
            <w:r>
              <w:rPr>
                <w:spacing w:val="-4"/>
                <w:sz w:val="20"/>
              </w:rPr>
              <w:t>Male</w:t>
            </w:r>
          </w:p>
        </w:tc>
        <w:tc>
          <w:tcPr>
            <w:tcW w:w="1201" w:type="dxa"/>
          </w:tcPr>
          <w:p>
            <w:pPr>
              <w:pStyle w:val="TableParagraph"/>
              <w:spacing w:before="144"/>
              <w:ind w:left="148"/>
              <w:rPr>
                <w:sz w:val="20"/>
              </w:rPr>
            </w:pPr>
            <w:r>
              <w:rPr>
                <w:sz w:val="20"/>
              </w:rPr>
              <w:t>26 </w:t>
            </w:r>
            <w:r>
              <w:rPr>
                <w:spacing w:val="-2"/>
                <w:sz w:val="20"/>
              </w:rPr>
              <w:t>(41.9%)</w:t>
            </w:r>
          </w:p>
        </w:tc>
      </w:tr>
      <w:tr>
        <w:trPr>
          <w:trHeight w:val="530" w:hRule="atLeast"/>
        </w:trPr>
        <w:tc>
          <w:tcPr>
            <w:tcW w:w="1188" w:type="dxa"/>
          </w:tcPr>
          <w:p>
            <w:pPr>
              <w:pStyle w:val="TableParagraph"/>
              <w:ind w:left="4"/>
              <w:rPr>
                <w:sz w:val="20"/>
              </w:rPr>
            </w:pPr>
            <w:r>
              <w:rPr>
                <w:spacing w:val="-2"/>
                <w:sz w:val="20"/>
              </w:rPr>
              <w:t>Education</w:t>
            </w:r>
          </w:p>
        </w:tc>
        <w:tc>
          <w:tcPr>
            <w:tcW w:w="1981" w:type="dxa"/>
          </w:tcPr>
          <w:p>
            <w:pPr>
              <w:pStyle w:val="TableParagraph"/>
              <w:rPr>
                <w:sz w:val="20"/>
              </w:rPr>
            </w:pPr>
            <w:r>
              <w:rPr>
                <w:sz w:val="20"/>
              </w:rPr>
              <w:t>Primary</w:t>
            </w:r>
            <w:r>
              <w:rPr>
                <w:spacing w:val="-7"/>
                <w:sz w:val="20"/>
              </w:rPr>
              <w:t> </w:t>
            </w:r>
            <w:r>
              <w:rPr>
                <w:spacing w:val="-2"/>
                <w:sz w:val="20"/>
              </w:rPr>
              <w:t>school</w:t>
            </w:r>
          </w:p>
        </w:tc>
        <w:tc>
          <w:tcPr>
            <w:tcW w:w="1201" w:type="dxa"/>
          </w:tcPr>
          <w:p>
            <w:pPr>
              <w:pStyle w:val="TableParagraph"/>
              <w:ind w:left="148"/>
              <w:rPr>
                <w:sz w:val="20"/>
              </w:rPr>
            </w:pPr>
            <w:r>
              <w:rPr>
                <w:sz w:val="20"/>
              </w:rPr>
              <w:t>26 </w:t>
            </w:r>
            <w:r>
              <w:rPr>
                <w:spacing w:val="-2"/>
                <w:sz w:val="20"/>
              </w:rPr>
              <w:t>(41.9%)</w:t>
            </w:r>
          </w:p>
        </w:tc>
      </w:tr>
      <w:tr>
        <w:trPr>
          <w:trHeight w:val="529" w:hRule="atLeast"/>
        </w:trPr>
        <w:tc>
          <w:tcPr>
            <w:tcW w:w="1188" w:type="dxa"/>
          </w:tcPr>
          <w:p>
            <w:pPr>
              <w:pStyle w:val="TableParagraph"/>
              <w:spacing w:before="0"/>
              <w:ind w:left="0"/>
              <w:rPr>
                <w:sz w:val="20"/>
              </w:rPr>
            </w:pPr>
          </w:p>
        </w:tc>
        <w:tc>
          <w:tcPr>
            <w:tcW w:w="1981" w:type="dxa"/>
          </w:tcPr>
          <w:p>
            <w:pPr>
              <w:pStyle w:val="TableParagraph"/>
              <w:spacing w:before="144"/>
              <w:rPr>
                <w:sz w:val="20"/>
              </w:rPr>
            </w:pPr>
            <w:r>
              <w:rPr>
                <w:sz w:val="20"/>
              </w:rPr>
              <w:t>High</w:t>
            </w:r>
            <w:r>
              <w:rPr>
                <w:spacing w:val="-5"/>
                <w:sz w:val="20"/>
              </w:rPr>
              <w:t> </w:t>
            </w:r>
            <w:r>
              <w:rPr>
                <w:sz w:val="20"/>
              </w:rPr>
              <w:t>school</w:t>
            </w:r>
            <w:r>
              <w:rPr>
                <w:spacing w:val="-5"/>
                <w:sz w:val="20"/>
              </w:rPr>
              <w:t> </w:t>
            </w:r>
            <w:r>
              <w:rPr>
                <w:spacing w:val="-2"/>
                <w:sz w:val="20"/>
              </w:rPr>
              <w:t>diploma</w:t>
            </w:r>
          </w:p>
        </w:tc>
        <w:tc>
          <w:tcPr>
            <w:tcW w:w="1201" w:type="dxa"/>
          </w:tcPr>
          <w:p>
            <w:pPr>
              <w:pStyle w:val="TableParagraph"/>
              <w:spacing w:before="144"/>
              <w:ind w:left="148"/>
              <w:rPr>
                <w:sz w:val="20"/>
              </w:rPr>
            </w:pPr>
            <w:r>
              <w:rPr>
                <w:sz w:val="20"/>
              </w:rPr>
              <w:t>18 </w:t>
            </w:r>
            <w:r>
              <w:rPr>
                <w:spacing w:val="-2"/>
                <w:sz w:val="20"/>
              </w:rPr>
              <w:t>(29.0%)</w:t>
            </w:r>
          </w:p>
        </w:tc>
      </w:tr>
      <w:tr>
        <w:trPr>
          <w:trHeight w:val="530" w:hRule="atLeast"/>
        </w:trPr>
        <w:tc>
          <w:tcPr>
            <w:tcW w:w="1188" w:type="dxa"/>
          </w:tcPr>
          <w:p>
            <w:pPr>
              <w:pStyle w:val="TableParagraph"/>
              <w:spacing w:before="0"/>
              <w:ind w:left="0"/>
              <w:rPr>
                <w:sz w:val="20"/>
              </w:rPr>
            </w:pPr>
          </w:p>
        </w:tc>
        <w:tc>
          <w:tcPr>
            <w:tcW w:w="1981" w:type="dxa"/>
          </w:tcPr>
          <w:p>
            <w:pPr>
              <w:pStyle w:val="TableParagraph"/>
              <w:spacing w:before="144"/>
              <w:rPr>
                <w:sz w:val="20"/>
              </w:rPr>
            </w:pPr>
            <w:r>
              <w:rPr>
                <w:sz w:val="20"/>
              </w:rPr>
              <w:t>No</w:t>
            </w:r>
            <w:r>
              <w:rPr>
                <w:spacing w:val="-5"/>
                <w:sz w:val="20"/>
              </w:rPr>
              <w:t> </w:t>
            </w:r>
            <w:r>
              <w:rPr>
                <w:sz w:val="20"/>
              </w:rPr>
              <w:t>formal</w:t>
            </w:r>
            <w:r>
              <w:rPr>
                <w:spacing w:val="-5"/>
                <w:sz w:val="20"/>
              </w:rPr>
              <w:t> </w:t>
            </w:r>
            <w:r>
              <w:rPr>
                <w:spacing w:val="-2"/>
                <w:sz w:val="20"/>
              </w:rPr>
              <w:t>education</w:t>
            </w:r>
          </w:p>
        </w:tc>
        <w:tc>
          <w:tcPr>
            <w:tcW w:w="1201" w:type="dxa"/>
          </w:tcPr>
          <w:p>
            <w:pPr>
              <w:pStyle w:val="TableParagraph"/>
              <w:spacing w:before="144"/>
              <w:ind w:left="148"/>
              <w:rPr>
                <w:sz w:val="20"/>
              </w:rPr>
            </w:pPr>
            <w:r>
              <w:rPr>
                <w:sz w:val="20"/>
              </w:rPr>
              <w:t>12 </w:t>
            </w:r>
            <w:r>
              <w:rPr>
                <w:spacing w:val="-2"/>
                <w:sz w:val="20"/>
              </w:rPr>
              <w:t>(19.4%)</w:t>
            </w:r>
          </w:p>
        </w:tc>
      </w:tr>
      <w:tr>
        <w:trPr>
          <w:trHeight w:val="530" w:hRule="atLeast"/>
        </w:trPr>
        <w:tc>
          <w:tcPr>
            <w:tcW w:w="1188" w:type="dxa"/>
          </w:tcPr>
          <w:p>
            <w:pPr>
              <w:pStyle w:val="TableParagraph"/>
              <w:spacing w:before="0"/>
              <w:ind w:left="0"/>
              <w:rPr>
                <w:sz w:val="20"/>
              </w:rPr>
            </w:pPr>
          </w:p>
        </w:tc>
        <w:tc>
          <w:tcPr>
            <w:tcW w:w="1981" w:type="dxa"/>
          </w:tcPr>
          <w:p>
            <w:pPr>
              <w:pStyle w:val="TableParagraph"/>
              <w:spacing w:before="144"/>
              <w:rPr>
                <w:sz w:val="20"/>
              </w:rPr>
            </w:pPr>
            <w:r>
              <w:rPr>
                <w:sz w:val="20"/>
              </w:rPr>
              <w:t>University</w:t>
            </w:r>
            <w:r>
              <w:rPr>
                <w:spacing w:val="-10"/>
                <w:sz w:val="20"/>
              </w:rPr>
              <w:t> </w:t>
            </w:r>
            <w:r>
              <w:rPr>
                <w:spacing w:val="-2"/>
                <w:sz w:val="20"/>
              </w:rPr>
              <w:t>degree</w:t>
            </w:r>
          </w:p>
        </w:tc>
        <w:tc>
          <w:tcPr>
            <w:tcW w:w="1201" w:type="dxa"/>
          </w:tcPr>
          <w:p>
            <w:pPr>
              <w:pStyle w:val="TableParagraph"/>
              <w:spacing w:before="144"/>
              <w:ind w:left="148"/>
              <w:rPr>
                <w:sz w:val="20"/>
              </w:rPr>
            </w:pPr>
            <w:r>
              <w:rPr>
                <w:sz w:val="20"/>
              </w:rPr>
              <w:t>6 </w:t>
            </w:r>
            <w:r>
              <w:rPr>
                <w:spacing w:val="-2"/>
                <w:sz w:val="20"/>
              </w:rPr>
              <w:t>(9.7%)</w:t>
            </w:r>
          </w:p>
        </w:tc>
      </w:tr>
      <w:tr>
        <w:trPr>
          <w:trHeight w:val="529" w:hRule="atLeast"/>
        </w:trPr>
        <w:tc>
          <w:tcPr>
            <w:tcW w:w="1188" w:type="dxa"/>
          </w:tcPr>
          <w:p>
            <w:pPr>
              <w:pStyle w:val="TableParagraph"/>
              <w:spacing w:before="144"/>
              <w:ind w:left="4"/>
              <w:rPr>
                <w:sz w:val="20"/>
              </w:rPr>
            </w:pPr>
            <w:r>
              <w:rPr>
                <w:spacing w:val="-2"/>
                <w:sz w:val="20"/>
              </w:rPr>
              <w:t>Occupation</w:t>
            </w:r>
          </w:p>
        </w:tc>
        <w:tc>
          <w:tcPr>
            <w:tcW w:w="1981" w:type="dxa"/>
          </w:tcPr>
          <w:p>
            <w:pPr>
              <w:pStyle w:val="TableParagraph"/>
              <w:spacing w:before="144"/>
              <w:rPr>
                <w:sz w:val="20"/>
              </w:rPr>
            </w:pPr>
            <w:r>
              <w:rPr>
                <w:spacing w:val="-2"/>
                <w:sz w:val="20"/>
              </w:rPr>
              <w:t>Homemaker</w:t>
            </w:r>
          </w:p>
        </w:tc>
        <w:tc>
          <w:tcPr>
            <w:tcW w:w="1201" w:type="dxa"/>
          </w:tcPr>
          <w:p>
            <w:pPr>
              <w:pStyle w:val="TableParagraph"/>
              <w:spacing w:before="144"/>
              <w:ind w:left="148"/>
              <w:rPr>
                <w:sz w:val="20"/>
              </w:rPr>
            </w:pPr>
            <w:r>
              <w:rPr>
                <w:sz w:val="20"/>
              </w:rPr>
              <w:t>27 </w:t>
            </w:r>
            <w:r>
              <w:rPr>
                <w:spacing w:val="-2"/>
                <w:sz w:val="20"/>
              </w:rPr>
              <w:t>(43.5%)</w:t>
            </w:r>
          </w:p>
        </w:tc>
      </w:tr>
      <w:tr>
        <w:trPr>
          <w:trHeight w:val="530" w:hRule="atLeast"/>
        </w:trPr>
        <w:tc>
          <w:tcPr>
            <w:tcW w:w="1188" w:type="dxa"/>
          </w:tcPr>
          <w:p>
            <w:pPr>
              <w:pStyle w:val="TableParagraph"/>
              <w:spacing w:before="0"/>
              <w:ind w:left="0"/>
              <w:rPr>
                <w:sz w:val="20"/>
              </w:rPr>
            </w:pPr>
          </w:p>
        </w:tc>
        <w:tc>
          <w:tcPr>
            <w:tcW w:w="1981" w:type="dxa"/>
          </w:tcPr>
          <w:p>
            <w:pPr>
              <w:pStyle w:val="TableParagraph"/>
              <w:spacing w:before="144"/>
              <w:rPr>
                <w:sz w:val="20"/>
              </w:rPr>
            </w:pPr>
            <w:r>
              <w:rPr>
                <w:spacing w:val="-2"/>
                <w:sz w:val="20"/>
              </w:rPr>
              <w:t>Unemployed</w:t>
            </w:r>
          </w:p>
        </w:tc>
        <w:tc>
          <w:tcPr>
            <w:tcW w:w="1201" w:type="dxa"/>
          </w:tcPr>
          <w:p>
            <w:pPr>
              <w:pStyle w:val="TableParagraph"/>
              <w:spacing w:before="144"/>
              <w:ind w:left="148"/>
              <w:rPr>
                <w:sz w:val="20"/>
              </w:rPr>
            </w:pPr>
            <w:r>
              <w:rPr>
                <w:sz w:val="20"/>
              </w:rPr>
              <w:t>23 </w:t>
            </w:r>
            <w:r>
              <w:rPr>
                <w:spacing w:val="-2"/>
                <w:sz w:val="20"/>
              </w:rPr>
              <w:t>(37.1%)</w:t>
            </w:r>
          </w:p>
        </w:tc>
      </w:tr>
      <w:tr>
        <w:trPr>
          <w:trHeight w:val="530" w:hRule="atLeast"/>
        </w:trPr>
        <w:tc>
          <w:tcPr>
            <w:tcW w:w="1188" w:type="dxa"/>
          </w:tcPr>
          <w:p>
            <w:pPr>
              <w:pStyle w:val="TableParagraph"/>
              <w:spacing w:before="0"/>
              <w:ind w:left="0"/>
              <w:rPr>
                <w:sz w:val="20"/>
              </w:rPr>
            </w:pPr>
          </w:p>
        </w:tc>
        <w:tc>
          <w:tcPr>
            <w:tcW w:w="1981" w:type="dxa"/>
          </w:tcPr>
          <w:p>
            <w:pPr>
              <w:pStyle w:val="TableParagraph"/>
              <w:spacing w:before="144"/>
              <w:rPr>
                <w:sz w:val="20"/>
              </w:rPr>
            </w:pPr>
            <w:r>
              <w:rPr>
                <w:spacing w:val="-2"/>
                <w:sz w:val="20"/>
              </w:rPr>
              <w:t>Self-employed</w:t>
            </w:r>
          </w:p>
        </w:tc>
        <w:tc>
          <w:tcPr>
            <w:tcW w:w="1201" w:type="dxa"/>
          </w:tcPr>
          <w:p>
            <w:pPr>
              <w:pStyle w:val="TableParagraph"/>
              <w:spacing w:before="144"/>
              <w:ind w:left="148"/>
              <w:rPr>
                <w:sz w:val="20"/>
              </w:rPr>
            </w:pPr>
            <w:r>
              <w:rPr>
                <w:sz w:val="20"/>
              </w:rPr>
              <w:t>12 </w:t>
            </w:r>
            <w:r>
              <w:rPr>
                <w:spacing w:val="-2"/>
                <w:sz w:val="20"/>
              </w:rPr>
              <w:t>(19.4%)</w:t>
            </w:r>
          </w:p>
        </w:tc>
      </w:tr>
      <w:tr>
        <w:trPr>
          <w:trHeight w:val="530" w:hRule="atLeast"/>
        </w:trPr>
        <w:tc>
          <w:tcPr>
            <w:tcW w:w="1188" w:type="dxa"/>
          </w:tcPr>
          <w:p>
            <w:pPr>
              <w:pStyle w:val="TableParagraph"/>
              <w:spacing w:before="144"/>
              <w:ind w:left="4"/>
              <w:rPr>
                <w:sz w:val="20"/>
              </w:rPr>
            </w:pPr>
            <w:r>
              <w:rPr>
                <w:sz w:val="20"/>
              </w:rPr>
              <w:t>Income</w:t>
            </w:r>
            <w:r>
              <w:rPr>
                <w:spacing w:val="-9"/>
                <w:sz w:val="20"/>
              </w:rPr>
              <w:t> </w:t>
            </w:r>
            <w:r>
              <w:rPr>
                <w:spacing w:val="-2"/>
                <w:sz w:val="20"/>
              </w:rPr>
              <w:t>level</w:t>
            </w:r>
          </w:p>
        </w:tc>
        <w:tc>
          <w:tcPr>
            <w:tcW w:w="1981" w:type="dxa"/>
          </w:tcPr>
          <w:p>
            <w:pPr>
              <w:pStyle w:val="TableParagraph"/>
              <w:spacing w:before="144"/>
              <w:rPr>
                <w:sz w:val="20"/>
              </w:rPr>
            </w:pPr>
            <w:r>
              <w:rPr>
                <w:spacing w:val="-5"/>
                <w:sz w:val="20"/>
              </w:rPr>
              <w:t>Low</w:t>
            </w:r>
          </w:p>
        </w:tc>
        <w:tc>
          <w:tcPr>
            <w:tcW w:w="1201" w:type="dxa"/>
          </w:tcPr>
          <w:p>
            <w:pPr>
              <w:pStyle w:val="TableParagraph"/>
              <w:spacing w:before="144"/>
              <w:ind w:left="148"/>
              <w:rPr>
                <w:sz w:val="20"/>
              </w:rPr>
            </w:pPr>
            <w:r>
              <w:rPr>
                <w:sz w:val="20"/>
              </w:rPr>
              <w:t>17 </w:t>
            </w:r>
            <w:r>
              <w:rPr>
                <w:spacing w:val="-2"/>
                <w:sz w:val="20"/>
              </w:rPr>
              <w:t>(27.4%)</w:t>
            </w:r>
          </w:p>
        </w:tc>
      </w:tr>
      <w:tr>
        <w:trPr>
          <w:trHeight w:val="530" w:hRule="atLeast"/>
        </w:trPr>
        <w:tc>
          <w:tcPr>
            <w:tcW w:w="1188" w:type="dxa"/>
          </w:tcPr>
          <w:p>
            <w:pPr>
              <w:pStyle w:val="TableParagraph"/>
              <w:spacing w:before="0"/>
              <w:ind w:left="0"/>
              <w:rPr>
                <w:sz w:val="20"/>
              </w:rPr>
            </w:pPr>
          </w:p>
        </w:tc>
        <w:tc>
          <w:tcPr>
            <w:tcW w:w="1981" w:type="dxa"/>
          </w:tcPr>
          <w:p>
            <w:pPr>
              <w:pStyle w:val="TableParagraph"/>
              <w:spacing w:before="144"/>
              <w:rPr>
                <w:sz w:val="20"/>
              </w:rPr>
            </w:pPr>
            <w:r>
              <w:rPr>
                <w:spacing w:val="-2"/>
                <w:sz w:val="20"/>
              </w:rPr>
              <w:t>Moderate</w:t>
            </w:r>
          </w:p>
        </w:tc>
        <w:tc>
          <w:tcPr>
            <w:tcW w:w="1201" w:type="dxa"/>
          </w:tcPr>
          <w:p>
            <w:pPr>
              <w:pStyle w:val="TableParagraph"/>
              <w:spacing w:before="144"/>
              <w:ind w:left="148"/>
              <w:rPr>
                <w:sz w:val="20"/>
              </w:rPr>
            </w:pPr>
            <w:r>
              <w:rPr>
                <w:sz w:val="20"/>
              </w:rPr>
              <w:t>35 </w:t>
            </w:r>
            <w:r>
              <w:rPr>
                <w:spacing w:val="-2"/>
                <w:sz w:val="20"/>
              </w:rPr>
              <w:t>(56.5%)</w:t>
            </w:r>
          </w:p>
        </w:tc>
      </w:tr>
      <w:tr>
        <w:trPr>
          <w:trHeight w:val="530" w:hRule="atLeast"/>
        </w:trPr>
        <w:tc>
          <w:tcPr>
            <w:tcW w:w="1188" w:type="dxa"/>
          </w:tcPr>
          <w:p>
            <w:pPr>
              <w:pStyle w:val="TableParagraph"/>
              <w:spacing w:before="0"/>
              <w:ind w:left="0"/>
              <w:rPr>
                <w:sz w:val="20"/>
              </w:rPr>
            </w:pPr>
          </w:p>
        </w:tc>
        <w:tc>
          <w:tcPr>
            <w:tcW w:w="1981" w:type="dxa"/>
          </w:tcPr>
          <w:p>
            <w:pPr>
              <w:pStyle w:val="TableParagraph"/>
              <w:spacing w:before="144"/>
              <w:rPr>
                <w:sz w:val="20"/>
              </w:rPr>
            </w:pPr>
            <w:r>
              <w:rPr>
                <w:spacing w:val="-4"/>
                <w:sz w:val="20"/>
              </w:rPr>
              <w:t>Good</w:t>
            </w:r>
          </w:p>
        </w:tc>
        <w:tc>
          <w:tcPr>
            <w:tcW w:w="1201" w:type="dxa"/>
          </w:tcPr>
          <w:p>
            <w:pPr>
              <w:pStyle w:val="TableParagraph"/>
              <w:spacing w:before="144"/>
              <w:ind w:left="148"/>
              <w:rPr>
                <w:sz w:val="20"/>
              </w:rPr>
            </w:pPr>
            <w:r>
              <w:rPr>
                <w:sz w:val="20"/>
              </w:rPr>
              <w:t>7 </w:t>
            </w:r>
            <w:r>
              <w:rPr>
                <w:spacing w:val="-2"/>
                <w:sz w:val="20"/>
              </w:rPr>
              <w:t>(11.3%)</w:t>
            </w:r>
          </w:p>
        </w:tc>
      </w:tr>
      <w:tr>
        <w:trPr>
          <w:trHeight w:val="530" w:hRule="atLeast"/>
        </w:trPr>
        <w:tc>
          <w:tcPr>
            <w:tcW w:w="1188" w:type="dxa"/>
          </w:tcPr>
          <w:p>
            <w:pPr>
              <w:pStyle w:val="TableParagraph"/>
              <w:spacing w:before="0"/>
              <w:ind w:left="0"/>
              <w:rPr>
                <w:sz w:val="20"/>
              </w:rPr>
            </w:pPr>
          </w:p>
        </w:tc>
        <w:tc>
          <w:tcPr>
            <w:tcW w:w="1981" w:type="dxa"/>
          </w:tcPr>
          <w:p>
            <w:pPr>
              <w:pStyle w:val="TableParagraph"/>
              <w:spacing w:before="144"/>
              <w:rPr>
                <w:sz w:val="20"/>
              </w:rPr>
            </w:pPr>
            <w:r>
              <w:rPr>
                <w:sz w:val="20"/>
              </w:rPr>
              <w:t>Very</w:t>
            </w:r>
            <w:r>
              <w:rPr>
                <w:spacing w:val="-5"/>
                <w:sz w:val="20"/>
              </w:rPr>
              <w:t> </w:t>
            </w:r>
            <w:r>
              <w:rPr>
                <w:spacing w:val="-4"/>
                <w:sz w:val="20"/>
              </w:rPr>
              <w:t>good</w:t>
            </w:r>
          </w:p>
        </w:tc>
        <w:tc>
          <w:tcPr>
            <w:tcW w:w="1201" w:type="dxa"/>
          </w:tcPr>
          <w:p>
            <w:pPr>
              <w:pStyle w:val="TableParagraph"/>
              <w:spacing w:before="144"/>
              <w:ind w:left="148"/>
              <w:rPr>
                <w:sz w:val="20"/>
              </w:rPr>
            </w:pPr>
            <w:r>
              <w:rPr>
                <w:sz w:val="20"/>
              </w:rPr>
              <w:t>3 </w:t>
            </w:r>
            <w:r>
              <w:rPr>
                <w:spacing w:val="-2"/>
                <w:sz w:val="20"/>
              </w:rPr>
              <w:t>(4.8%)</w:t>
            </w:r>
          </w:p>
        </w:tc>
      </w:tr>
    </w:tbl>
    <w:p>
      <w:pPr>
        <w:pStyle w:val="TableParagraph"/>
        <w:spacing w:after="0"/>
        <w:rPr>
          <w:sz w:val="20"/>
        </w:rPr>
        <w:sectPr>
          <w:pgSz w:w="11910" w:h="16840"/>
          <w:pgMar w:top="1920" w:bottom="280" w:left="1417" w:right="1417"/>
        </w:sectPr>
      </w:pPr>
    </w:p>
    <w:p>
      <w:pPr>
        <w:spacing w:before="72"/>
        <w:ind w:left="23" w:right="0" w:firstLine="0"/>
        <w:jc w:val="left"/>
        <w:rPr>
          <w:b/>
          <w:sz w:val="24"/>
        </w:rPr>
      </w:pPr>
      <w:r>
        <w:rPr>
          <w:b/>
          <w:sz w:val="24"/>
        </w:rPr>
        <w:t>Table</w:t>
      </w:r>
      <w:r>
        <w:rPr>
          <w:b/>
          <w:spacing w:val="-1"/>
          <w:sz w:val="24"/>
        </w:rPr>
        <w:t> </w:t>
      </w:r>
      <w:r>
        <w:rPr>
          <w:b/>
          <w:sz w:val="24"/>
        </w:rPr>
        <w:t>2:</w:t>
      </w:r>
      <w:r>
        <w:rPr>
          <w:b/>
          <w:spacing w:val="-2"/>
          <w:sz w:val="24"/>
        </w:rPr>
        <w:t> Comorbidities</w:t>
      </w:r>
    </w:p>
    <w:p>
      <w:pPr>
        <w:pStyle w:val="BodyText"/>
        <w:spacing w:before="3"/>
        <w:rPr>
          <w:b/>
          <w:sz w:val="18"/>
        </w:rPr>
      </w:pP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7"/>
        <w:gridCol w:w="1336"/>
      </w:tblGrid>
      <w:tr>
        <w:trPr>
          <w:trHeight w:val="563" w:hRule="atLeast"/>
        </w:trPr>
        <w:tc>
          <w:tcPr>
            <w:tcW w:w="3017" w:type="dxa"/>
          </w:tcPr>
          <w:p>
            <w:pPr>
              <w:pStyle w:val="TableParagraph"/>
              <w:spacing w:before="147"/>
              <w:ind w:left="4"/>
              <w:rPr>
                <w:b/>
                <w:sz w:val="23"/>
              </w:rPr>
            </w:pPr>
            <w:r>
              <w:rPr>
                <w:b/>
                <w:spacing w:val="-2"/>
                <w:sz w:val="23"/>
              </w:rPr>
              <w:t>Condition</w:t>
            </w:r>
          </w:p>
        </w:tc>
        <w:tc>
          <w:tcPr>
            <w:tcW w:w="1336" w:type="dxa"/>
          </w:tcPr>
          <w:p>
            <w:pPr>
              <w:pStyle w:val="TableParagraph"/>
              <w:spacing w:before="147"/>
              <w:ind w:left="151"/>
              <w:rPr>
                <w:b/>
                <w:sz w:val="23"/>
              </w:rPr>
            </w:pPr>
            <w:r>
              <w:rPr>
                <w:b/>
                <w:sz w:val="23"/>
              </w:rPr>
              <w:t>n</w:t>
            </w:r>
            <w:r>
              <w:rPr>
                <w:b/>
                <w:spacing w:val="-1"/>
                <w:sz w:val="23"/>
              </w:rPr>
              <w:t> </w:t>
            </w:r>
            <w:r>
              <w:rPr>
                <w:b/>
                <w:spacing w:val="-5"/>
                <w:sz w:val="23"/>
              </w:rPr>
              <w:t>(%)</w:t>
            </w:r>
          </w:p>
        </w:tc>
      </w:tr>
      <w:tr>
        <w:trPr>
          <w:trHeight w:val="563" w:hRule="atLeast"/>
        </w:trPr>
        <w:tc>
          <w:tcPr>
            <w:tcW w:w="3017" w:type="dxa"/>
          </w:tcPr>
          <w:p>
            <w:pPr>
              <w:pStyle w:val="TableParagraph"/>
              <w:ind w:left="4"/>
              <w:rPr>
                <w:sz w:val="23"/>
              </w:rPr>
            </w:pPr>
            <w:r>
              <w:rPr>
                <w:sz w:val="23"/>
              </w:rPr>
              <w:t>Hypertension</w:t>
            </w:r>
            <w:r>
              <w:rPr>
                <w:spacing w:val="-8"/>
                <w:sz w:val="23"/>
              </w:rPr>
              <w:t> </w:t>
            </w:r>
            <w:r>
              <w:rPr>
                <w:spacing w:val="-2"/>
                <w:sz w:val="23"/>
              </w:rPr>
              <w:t>(HTN)</w:t>
            </w:r>
          </w:p>
        </w:tc>
        <w:tc>
          <w:tcPr>
            <w:tcW w:w="1336" w:type="dxa"/>
          </w:tcPr>
          <w:p>
            <w:pPr>
              <w:pStyle w:val="TableParagraph"/>
              <w:ind w:left="151"/>
              <w:rPr>
                <w:sz w:val="23"/>
              </w:rPr>
            </w:pPr>
            <w:r>
              <w:rPr>
                <w:sz w:val="23"/>
              </w:rPr>
              <w:t>27 </w:t>
            </w:r>
            <w:r>
              <w:rPr>
                <w:spacing w:val="-2"/>
                <w:sz w:val="23"/>
              </w:rPr>
              <w:t>(43.5%)</w:t>
            </w:r>
          </w:p>
        </w:tc>
      </w:tr>
      <w:tr>
        <w:trPr>
          <w:trHeight w:val="565" w:hRule="atLeast"/>
        </w:trPr>
        <w:tc>
          <w:tcPr>
            <w:tcW w:w="3017" w:type="dxa"/>
          </w:tcPr>
          <w:p>
            <w:pPr>
              <w:pStyle w:val="TableParagraph"/>
              <w:ind w:left="4"/>
              <w:rPr>
                <w:sz w:val="23"/>
              </w:rPr>
            </w:pPr>
            <w:r>
              <w:rPr>
                <w:sz w:val="23"/>
              </w:rPr>
              <w:t>Diabetes</w:t>
            </w:r>
            <w:r>
              <w:rPr>
                <w:spacing w:val="-7"/>
                <w:sz w:val="23"/>
              </w:rPr>
              <w:t> </w:t>
            </w:r>
            <w:r>
              <w:rPr>
                <w:sz w:val="23"/>
              </w:rPr>
              <w:t>mellitus</w:t>
            </w:r>
            <w:r>
              <w:rPr>
                <w:spacing w:val="-5"/>
                <w:sz w:val="23"/>
              </w:rPr>
              <w:t> </w:t>
            </w:r>
            <w:r>
              <w:rPr>
                <w:spacing w:val="-4"/>
                <w:sz w:val="23"/>
              </w:rPr>
              <w:t>(DM)</w:t>
            </w:r>
          </w:p>
        </w:tc>
        <w:tc>
          <w:tcPr>
            <w:tcW w:w="1336" w:type="dxa"/>
          </w:tcPr>
          <w:p>
            <w:pPr>
              <w:pStyle w:val="TableParagraph"/>
              <w:ind w:left="151"/>
              <w:rPr>
                <w:sz w:val="23"/>
              </w:rPr>
            </w:pPr>
            <w:r>
              <w:rPr>
                <w:sz w:val="23"/>
              </w:rPr>
              <w:t>26 </w:t>
            </w:r>
            <w:r>
              <w:rPr>
                <w:spacing w:val="-2"/>
                <w:sz w:val="23"/>
              </w:rPr>
              <w:t>(41.9%)</w:t>
            </w:r>
          </w:p>
        </w:tc>
      </w:tr>
      <w:tr>
        <w:trPr>
          <w:trHeight w:val="563" w:hRule="atLeast"/>
        </w:trPr>
        <w:tc>
          <w:tcPr>
            <w:tcW w:w="3017" w:type="dxa"/>
          </w:tcPr>
          <w:p>
            <w:pPr>
              <w:pStyle w:val="TableParagraph"/>
              <w:spacing w:before="142"/>
              <w:ind w:left="4"/>
              <w:rPr>
                <w:sz w:val="23"/>
              </w:rPr>
            </w:pPr>
            <w:r>
              <w:rPr>
                <w:sz w:val="23"/>
              </w:rPr>
              <w:t>Chronic</w:t>
            </w:r>
            <w:r>
              <w:rPr>
                <w:spacing w:val="-4"/>
                <w:sz w:val="23"/>
              </w:rPr>
              <w:t> </w:t>
            </w:r>
            <w:r>
              <w:rPr>
                <w:sz w:val="23"/>
              </w:rPr>
              <w:t>kidney</w:t>
            </w:r>
            <w:r>
              <w:rPr>
                <w:spacing w:val="-7"/>
                <w:sz w:val="23"/>
              </w:rPr>
              <w:t> </w:t>
            </w:r>
            <w:r>
              <w:rPr>
                <w:sz w:val="23"/>
              </w:rPr>
              <w:t>disease</w:t>
            </w:r>
            <w:r>
              <w:rPr>
                <w:spacing w:val="-1"/>
                <w:sz w:val="23"/>
              </w:rPr>
              <w:t> </w:t>
            </w:r>
            <w:r>
              <w:rPr>
                <w:spacing w:val="-4"/>
                <w:sz w:val="23"/>
              </w:rPr>
              <w:t>(CKD)</w:t>
            </w:r>
          </w:p>
        </w:tc>
        <w:tc>
          <w:tcPr>
            <w:tcW w:w="1336" w:type="dxa"/>
          </w:tcPr>
          <w:p>
            <w:pPr>
              <w:pStyle w:val="TableParagraph"/>
              <w:spacing w:before="142"/>
              <w:ind w:left="151"/>
              <w:rPr>
                <w:sz w:val="23"/>
              </w:rPr>
            </w:pPr>
            <w:r>
              <w:rPr>
                <w:sz w:val="23"/>
              </w:rPr>
              <w:t>17 </w:t>
            </w:r>
            <w:r>
              <w:rPr>
                <w:spacing w:val="-2"/>
                <w:sz w:val="23"/>
              </w:rPr>
              <w:t>(27.4%)</w:t>
            </w:r>
          </w:p>
        </w:tc>
      </w:tr>
      <w:tr>
        <w:trPr>
          <w:trHeight w:val="564" w:hRule="atLeast"/>
        </w:trPr>
        <w:tc>
          <w:tcPr>
            <w:tcW w:w="3017" w:type="dxa"/>
          </w:tcPr>
          <w:p>
            <w:pPr>
              <w:pStyle w:val="TableParagraph"/>
              <w:ind w:left="4"/>
              <w:rPr>
                <w:sz w:val="23"/>
              </w:rPr>
            </w:pPr>
            <w:r>
              <w:rPr>
                <w:sz w:val="23"/>
              </w:rPr>
              <w:t>Ischemic</w:t>
            </w:r>
            <w:r>
              <w:rPr>
                <w:spacing w:val="-5"/>
                <w:sz w:val="23"/>
              </w:rPr>
              <w:t> </w:t>
            </w:r>
            <w:r>
              <w:rPr>
                <w:sz w:val="23"/>
              </w:rPr>
              <w:t>heart</w:t>
            </w:r>
            <w:r>
              <w:rPr>
                <w:spacing w:val="-5"/>
                <w:sz w:val="23"/>
              </w:rPr>
              <w:t> </w:t>
            </w:r>
            <w:r>
              <w:rPr>
                <w:sz w:val="23"/>
              </w:rPr>
              <w:t>disease</w:t>
            </w:r>
            <w:r>
              <w:rPr>
                <w:spacing w:val="-4"/>
                <w:sz w:val="23"/>
              </w:rPr>
              <w:t> (IHD)</w:t>
            </w:r>
          </w:p>
        </w:tc>
        <w:tc>
          <w:tcPr>
            <w:tcW w:w="1336" w:type="dxa"/>
          </w:tcPr>
          <w:p>
            <w:pPr>
              <w:pStyle w:val="TableParagraph"/>
              <w:ind w:left="151"/>
              <w:rPr>
                <w:sz w:val="23"/>
              </w:rPr>
            </w:pPr>
            <w:r>
              <w:rPr>
                <w:sz w:val="23"/>
              </w:rPr>
              <w:t>15 </w:t>
            </w:r>
            <w:r>
              <w:rPr>
                <w:spacing w:val="-2"/>
                <w:sz w:val="23"/>
              </w:rPr>
              <w:t>(24.2%)</w:t>
            </w:r>
          </w:p>
        </w:tc>
      </w:tr>
      <w:tr>
        <w:trPr>
          <w:trHeight w:val="566" w:hRule="atLeast"/>
        </w:trPr>
        <w:tc>
          <w:tcPr>
            <w:tcW w:w="3017" w:type="dxa"/>
          </w:tcPr>
          <w:p>
            <w:pPr>
              <w:pStyle w:val="TableParagraph"/>
              <w:ind w:left="4"/>
              <w:rPr>
                <w:sz w:val="23"/>
              </w:rPr>
            </w:pPr>
            <w:r>
              <w:rPr>
                <w:spacing w:val="-4"/>
                <w:sz w:val="23"/>
              </w:rPr>
              <w:t>COPD</w:t>
            </w:r>
          </w:p>
        </w:tc>
        <w:tc>
          <w:tcPr>
            <w:tcW w:w="1336" w:type="dxa"/>
          </w:tcPr>
          <w:p>
            <w:pPr>
              <w:pStyle w:val="TableParagraph"/>
              <w:ind w:left="151"/>
              <w:rPr>
                <w:sz w:val="23"/>
              </w:rPr>
            </w:pPr>
            <w:r>
              <w:rPr>
                <w:sz w:val="23"/>
              </w:rPr>
              <w:t>11 </w:t>
            </w:r>
            <w:r>
              <w:rPr>
                <w:spacing w:val="-2"/>
                <w:sz w:val="23"/>
              </w:rPr>
              <w:t>(17.7%)</w:t>
            </w:r>
          </w:p>
        </w:tc>
      </w:tr>
      <w:tr>
        <w:trPr>
          <w:trHeight w:val="563" w:hRule="atLeast"/>
        </w:trPr>
        <w:tc>
          <w:tcPr>
            <w:tcW w:w="3017" w:type="dxa"/>
          </w:tcPr>
          <w:p>
            <w:pPr>
              <w:pStyle w:val="TableParagraph"/>
              <w:spacing w:before="142"/>
              <w:ind w:left="4"/>
              <w:rPr>
                <w:sz w:val="23"/>
              </w:rPr>
            </w:pPr>
            <w:r>
              <w:rPr>
                <w:sz w:val="23"/>
              </w:rPr>
              <w:t>Congestive</w:t>
            </w:r>
            <w:r>
              <w:rPr>
                <w:spacing w:val="-4"/>
                <w:sz w:val="23"/>
              </w:rPr>
              <w:t> </w:t>
            </w:r>
            <w:r>
              <w:rPr>
                <w:sz w:val="23"/>
              </w:rPr>
              <w:t>heart</w:t>
            </w:r>
            <w:r>
              <w:rPr>
                <w:spacing w:val="-4"/>
                <w:sz w:val="23"/>
              </w:rPr>
              <w:t> </w:t>
            </w:r>
            <w:r>
              <w:rPr>
                <w:sz w:val="23"/>
              </w:rPr>
              <w:t>failure</w:t>
            </w:r>
            <w:r>
              <w:rPr>
                <w:spacing w:val="-3"/>
                <w:sz w:val="23"/>
              </w:rPr>
              <w:t> </w:t>
            </w:r>
            <w:r>
              <w:rPr>
                <w:spacing w:val="-4"/>
                <w:sz w:val="23"/>
              </w:rPr>
              <w:t>(CHF)</w:t>
            </w:r>
          </w:p>
        </w:tc>
        <w:tc>
          <w:tcPr>
            <w:tcW w:w="1336" w:type="dxa"/>
          </w:tcPr>
          <w:p>
            <w:pPr>
              <w:pStyle w:val="TableParagraph"/>
              <w:spacing w:before="142"/>
              <w:ind w:left="151"/>
              <w:rPr>
                <w:sz w:val="23"/>
              </w:rPr>
            </w:pPr>
            <w:r>
              <w:rPr>
                <w:sz w:val="23"/>
              </w:rPr>
              <w:t>8 </w:t>
            </w:r>
            <w:r>
              <w:rPr>
                <w:spacing w:val="-2"/>
                <w:sz w:val="23"/>
              </w:rPr>
              <w:t>(12.9%)</w:t>
            </w:r>
          </w:p>
        </w:tc>
      </w:tr>
    </w:tbl>
    <w:p>
      <w:pPr>
        <w:pStyle w:val="BodyText"/>
        <w:spacing w:before="83"/>
        <w:rPr>
          <w:b/>
        </w:rPr>
      </w:pPr>
    </w:p>
    <w:p>
      <w:pPr>
        <w:spacing w:before="1"/>
        <w:ind w:left="23" w:right="0" w:firstLine="0"/>
        <w:jc w:val="left"/>
        <w:rPr>
          <w:b/>
          <w:sz w:val="24"/>
        </w:rPr>
      </w:pPr>
      <w:r>
        <w:rPr>
          <w:b/>
          <w:sz w:val="24"/>
        </w:rPr>
        <w:t>Table</w:t>
      </w:r>
      <w:r>
        <w:rPr>
          <w:b/>
          <w:spacing w:val="-2"/>
          <w:sz w:val="24"/>
        </w:rPr>
        <w:t> </w:t>
      </w:r>
      <w:r>
        <w:rPr>
          <w:b/>
          <w:sz w:val="24"/>
        </w:rPr>
        <w:t>3:</w:t>
      </w:r>
      <w:r>
        <w:rPr>
          <w:b/>
          <w:spacing w:val="-4"/>
          <w:sz w:val="24"/>
        </w:rPr>
        <w:t> </w:t>
      </w:r>
      <w:r>
        <w:rPr>
          <w:b/>
          <w:sz w:val="24"/>
        </w:rPr>
        <w:t>Laboratory</w:t>
      </w:r>
      <w:r>
        <w:rPr>
          <w:b/>
          <w:spacing w:val="-1"/>
          <w:sz w:val="24"/>
        </w:rPr>
        <w:t> </w:t>
      </w:r>
      <w:r>
        <w:rPr>
          <w:b/>
          <w:spacing w:val="-2"/>
          <w:sz w:val="24"/>
        </w:rPr>
        <w:t>Parameters</w:t>
      </w:r>
    </w:p>
    <w:p>
      <w:pPr>
        <w:pStyle w:val="BodyText"/>
        <w:spacing w:before="2"/>
        <w:rPr>
          <w:b/>
          <w:sz w:val="18"/>
        </w:rPr>
      </w:pP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1"/>
        <w:gridCol w:w="2374"/>
        <w:gridCol w:w="1906"/>
      </w:tblGrid>
      <w:tr>
        <w:trPr>
          <w:trHeight w:val="563" w:hRule="atLeast"/>
        </w:trPr>
        <w:tc>
          <w:tcPr>
            <w:tcW w:w="1301" w:type="dxa"/>
          </w:tcPr>
          <w:p>
            <w:pPr>
              <w:pStyle w:val="TableParagraph"/>
              <w:spacing w:before="147"/>
              <w:ind w:left="4"/>
              <w:rPr>
                <w:b/>
                <w:sz w:val="23"/>
              </w:rPr>
            </w:pPr>
            <w:r>
              <w:rPr>
                <w:b/>
                <w:spacing w:val="-2"/>
                <w:sz w:val="23"/>
              </w:rPr>
              <w:t>Parameter</w:t>
            </w:r>
          </w:p>
        </w:tc>
        <w:tc>
          <w:tcPr>
            <w:tcW w:w="2374" w:type="dxa"/>
          </w:tcPr>
          <w:p>
            <w:pPr>
              <w:pStyle w:val="TableParagraph"/>
              <w:spacing w:before="147"/>
              <w:ind w:left="148"/>
              <w:rPr>
                <w:b/>
                <w:sz w:val="23"/>
              </w:rPr>
            </w:pPr>
            <w:r>
              <w:rPr>
                <w:b/>
                <w:sz w:val="23"/>
              </w:rPr>
              <w:t>Mean</w:t>
            </w:r>
            <w:r>
              <w:rPr>
                <w:b/>
                <w:spacing w:val="-2"/>
                <w:sz w:val="23"/>
              </w:rPr>
              <w:t> </w:t>
            </w:r>
            <w:r>
              <w:rPr>
                <w:b/>
                <w:sz w:val="23"/>
              </w:rPr>
              <w:t>± </w:t>
            </w:r>
            <w:r>
              <w:rPr>
                <w:b/>
                <w:spacing w:val="-5"/>
                <w:sz w:val="23"/>
              </w:rPr>
              <w:t>SD</w:t>
            </w:r>
          </w:p>
        </w:tc>
        <w:tc>
          <w:tcPr>
            <w:tcW w:w="1906" w:type="dxa"/>
          </w:tcPr>
          <w:p>
            <w:pPr>
              <w:pStyle w:val="TableParagraph"/>
              <w:spacing w:before="147"/>
              <w:rPr>
                <w:b/>
                <w:sz w:val="23"/>
              </w:rPr>
            </w:pPr>
            <w:r>
              <w:rPr>
                <w:b/>
                <w:spacing w:val="-4"/>
                <w:sz w:val="23"/>
              </w:rPr>
              <w:t>Range</w:t>
            </w:r>
          </w:p>
        </w:tc>
      </w:tr>
      <w:tr>
        <w:trPr>
          <w:trHeight w:val="564" w:hRule="atLeast"/>
        </w:trPr>
        <w:tc>
          <w:tcPr>
            <w:tcW w:w="1301" w:type="dxa"/>
          </w:tcPr>
          <w:p>
            <w:pPr>
              <w:pStyle w:val="TableParagraph"/>
              <w:ind w:left="4"/>
              <w:rPr>
                <w:sz w:val="23"/>
              </w:rPr>
            </w:pPr>
            <w:r>
              <w:rPr>
                <w:spacing w:val="-2"/>
                <w:sz w:val="23"/>
              </w:rPr>
              <w:t>Creatinine</w:t>
            </w:r>
          </w:p>
        </w:tc>
        <w:tc>
          <w:tcPr>
            <w:tcW w:w="2374" w:type="dxa"/>
          </w:tcPr>
          <w:p>
            <w:pPr>
              <w:pStyle w:val="TableParagraph"/>
              <w:ind w:left="148"/>
              <w:rPr>
                <w:sz w:val="23"/>
              </w:rPr>
            </w:pPr>
            <w:r>
              <w:rPr>
                <w:sz w:val="23"/>
              </w:rPr>
              <w:t>2.14 ± 1.95</w:t>
            </w:r>
            <w:r>
              <w:rPr>
                <w:spacing w:val="-3"/>
                <w:sz w:val="23"/>
              </w:rPr>
              <w:t> </w:t>
            </w:r>
            <w:r>
              <w:rPr>
                <w:spacing w:val="-2"/>
                <w:sz w:val="23"/>
              </w:rPr>
              <w:t>mg/dL</w:t>
            </w:r>
          </w:p>
        </w:tc>
        <w:tc>
          <w:tcPr>
            <w:tcW w:w="1906" w:type="dxa"/>
          </w:tcPr>
          <w:p>
            <w:pPr>
              <w:pStyle w:val="TableParagraph"/>
              <w:rPr>
                <w:sz w:val="23"/>
              </w:rPr>
            </w:pPr>
            <w:r>
              <w:rPr>
                <w:sz w:val="23"/>
              </w:rPr>
              <w:t>0.6–10.6 </w:t>
            </w:r>
            <w:r>
              <w:rPr>
                <w:spacing w:val="-2"/>
                <w:sz w:val="23"/>
              </w:rPr>
              <w:t>mg/dL</w:t>
            </w:r>
          </w:p>
        </w:tc>
      </w:tr>
      <w:tr>
        <w:trPr>
          <w:trHeight w:val="565" w:hRule="atLeast"/>
        </w:trPr>
        <w:tc>
          <w:tcPr>
            <w:tcW w:w="1301" w:type="dxa"/>
          </w:tcPr>
          <w:p>
            <w:pPr>
              <w:pStyle w:val="TableParagraph"/>
              <w:ind w:left="4"/>
              <w:rPr>
                <w:sz w:val="23"/>
              </w:rPr>
            </w:pPr>
            <w:r>
              <w:rPr>
                <w:spacing w:val="-2"/>
                <w:sz w:val="23"/>
              </w:rPr>
              <w:t>Sodium</w:t>
            </w:r>
          </w:p>
        </w:tc>
        <w:tc>
          <w:tcPr>
            <w:tcW w:w="2374" w:type="dxa"/>
          </w:tcPr>
          <w:p>
            <w:pPr>
              <w:pStyle w:val="TableParagraph"/>
              <w:ind w:left="148"/>
              <w:rPr>
                <w:sz w:val="23"/>
              </w:rPr>
            </w:pPr>
            <w:r>
              <w:rPr>
                <w:sz w:val="23"/>
              </w:rPr>
              <w:t>136.76 ± 7.55</w:t>
            </w:r>
            <w:r>
              <w:rPr>
                <w:spacing w:val="-3"/>
                <w:sz w:val="23"/>
              </w:rPr>
              <w:t> </w:t>
            </w:r>
            <w:r>
              <w:rPr>
                <w:spacing w:val="-2"/>
                <w:sz w:val="23"/>
              </w:rPr>
              <w:t>mmol/L</w:t>
            </w:r>
          </w:p>
        </w:tc>
        <w:tc>
          <w:tcPr>
            <w:tcW w:w="1906" w:type="dxa"/>
          </w:tcPr>
          <w:p>
            <w:pPr>
              <w:pStyle w:val="TableParagraph"/>
              <w:rPr>
                <w:sz w:val="23"/>
              </w:rPr>
            </w:pPr>
            <w:r>
              <w:rPr>
                <w:sz w:val="23"/>
              </w:rPr>
              <w:t>115–162 </w:t>
            </w:r>
            <w:r>
              <w:rPr>
                <w:spacing w:val="-2"/>
                <w:sz w:val="23"/>
              </w:rPr>
              <w:t>mmol/L</w:t>
            </w:r>
          </w:p>
        </w:tc>
      </w:tr>
      <w:tr>
        <w:trPr>
          <w:trHeight w:val="563" w:hRule="atLeast"/>
        </w:trPr>
        <w:tc>
          <w:tcPr>
            <w:tcW w:w="1301" w:type="dxa"/>
          </w:tcPr>
          <w:p>
            <w:pPr>
              <w:pStyle w:val="TableParagraph"/>
              <w:spacing w:before="142"/>
              <w:ind w:left="4"/>
              <w:rPr>
                <w:sz w:val="23"/>
              </w:rPr>
            </w:pPr>
            <w:r>
              <w:rPr>
                <w:spacing w:val="-2"/>
                <w:sz w:val="23"/>
              </w:rPr>
              <w:t>Hemoglobin</w:t>
            </w:r>
          </w:p>
        </w:tc>
        <w:tc>
          <w:tcPr>
            <w:tcW w:w="2374" w:type="dxa"/>
          </w:tcPr>
          <w:p>
            <w:pPr>
              <w:pStyle w:val="TableParagraph"/>
              <w:spacing w:before="142"/>
              <w:ind w:left="148"/>
              <w:rPr>
                <w:sz w:val="23"/>
              </w:rPr>
            </w:pPr>
            <w:r>
              <w:rPr>
                <w:sz w:val="23"/>
              </w:rPr>
              <w:t>10.72</w:t>
            </w:r>
            <w:r>
              <w:rPr>
                <w:spacing w:val="-2"/>
                <w:sz w:val="23"/>
              </w:rPr>
              <w:t> </w:t>
            </w:r>
            <w:r>
              <w:rPr>
                <w:sz w:val="23"/>
              </w:rPr>
              <w:t>± 2.71 </w:t>
            </w:r>
            <w:r>
              <w:rPr>
                <w:spacing w:val="-4"/>
                <w:sz w:val="23"/>
              </w:rPr>
              <w:t>g/dL</w:t>
            </w:r>
          </w:p>
        </w:tc>
        <w:tc>
          <w:tcPr>
            <w:tcW w:w="1906" w:type="dxa"/>
          </w:tcPr>
          <w:p>
            <w:pPr>
              <w:pStyle w:val="TableParagraph"/>
              <w:spacing w:before="142"/>
              <w:rPr>
                <w:sz w:val="23"/>
              </w:rPr>
            </w:pPr>
            <w:r>
              <w:rPr>
                <w:sz w:val="23"/>
              </w:rPr>
              <w:t>5.1–17.2</w:t>
            </w:r>
            <w:r>
              <w:rPr>
                <w:spacing w:val="-2"/>
                <w:sz w:val="23"/>
              </w:rPr>
              <w:t> </w:t>
            </w:r>
            <w:r>
              <w:rPr>
                <w:spacing w:val="-4"/>
                <w:sz w:val="23"/>
              </w:rPr>
              <w:t>g/dL</w:t>
            </w:r>
          </w:p>
        </w:tc>
      </w:tr>
    </w:tbl>
    <w:p>
      <w:pPr>
        <w:pStyle w:val="BodyText"/>
        <w:spacing w:before="82"/>
        <w:rPr>
          <w:b/>
        </w:rPr>
      </w:pPr>
    </w:p>
    <w:p>
      <w:pPr>
        <w:spacing w:before="0"/>
        <w:ind w:left="23" w:right="0" w:firstLine="0"/>
        <w:jc w:val="left"/>
        <w:rPr>
          <w:b/>
          <w:sz w:val="24"/>
        </w:rPr>
      </w:pPr>
      <w:r>
        <w:rPr>
          <w:b/>
          <w:sz w:val="24"/>
        </w:rPr>
        <w:t>Table</w:t>
      </w:r>
      <w:r>
        <w:rPr>
          <w:b/>
          <w:spacing w:val="-4"/>
          <w:sz w:val="24"/>
        </w:rPr>
        <w:t> </w:t>
      </w:r>
      <w:r>
        <w:rPr>
          <w:b/>
          <w:sz w:val="24"/>
        </w:rPr>
        <w:t>4:</w:t>
      </w:r>
      <w:r>
        <w:rPr>
          <w:b/>
          <w:spacing w:val="-4"/>
          <w:sz w:val="24"/>
        </w:rPr>
        <w:t> </w:t>
      </w:r>
      <w:r>
        <w:rPr>
          <w:b/>
          <w:sz w:val="24"/>
        </w:rPr>
        <w:t>Echocardiographic</w:t>
      </w:r>
      <w:r>
        <w:rPr>
          <w:b/>
          <w:spacing w:val="-2"/>
          <w:sz w:val="24"/>
        </w:rPr>
        <w:t> Parameters</w:t>
      </w:r>
    </w:p>
    <w:p>
      <w:pPr>
        <w:pStyle w:val="BodyText"/>
        <w:spacing w:before="3"/>
        <w:rPr>
          <w:b/>
          <w:sz w:val="18"/>
        </w:rPr>
      </w:pP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8"/>
        <w:gridCol w:w="2274"/>
        <w:gridCol w:w="2379"/>
      </w:tblGrid>
      <w:tr>
        <w:trPr>
          <w:trHeight w:val="563" w:hRule="atLeast"/>
        </w:trPr>
        <w:tc>
          <w:tcPr>
            <w:tcW w:w="1198" w:type="dxa"/>
          </w:tcPr>
          <w:p>
            <w:pPr>
              <w:pStyle w:val="TableParagraph"/>
              <w:spacing w:before="147"/>
              <w:ind w:left="4"/>
              <w:rPr>
                <w:b/>
                <w:sz w:val="23"/>
              </w:rPr>
            </w:pPr>
            <w:r>
              <w:rPr>
                <w:b/>
                <w:spacing w:val="-2"/>
                <w:sz w:val="23"/>
              </w:rPr>
              <w:t>Parameter</w:t>
            </w:r>
          </w:p>
        </w:tc>
        <w:tc>
          <w:tcPr>
            <w:tcW w:w="2274" w:type="dxa"/>
          </w:tcPr>
          <w:p>
            <w:pPr>
              <w:pStyle w:val="TableParagraph"/>
              <w:spacing w:before="147"/>
              <w:rPr>
                <w:b/>
                <w:sz w:val="23"/>
              </w:rPr>
            </w:pPr>
            <w:r>
              <w:rPr>
                <w:b/>
                <w:sz w:val="23"/>
              </w:rPr>
              <w:t>Mean</w:t>
            </w:r>
            <w:r>
              <w:rPr>
                <w:b/>
                <w:spacing w:val="-2"/>
                <w:sz w:val="23"/>
              </w:rPr>
              <w:t> </w:t>
            </w:r>
            <w:r>
              <w:rPr>
                <w:b/>
                <w:sz w:val="23"/>
              </w:rPr>
              <w:t>± </w:t>
            </w:r>
            <w:r>
              <w:rPr>
                <w:b/>
                <w:spacing w:val="-5"/>
                <w:sz w:val="23"/>
              </w:rPr>
              <w:t>SD</w:t>
            </w:r>
          </w:p>
        </w:tc>
        <w:tc>
          <w:tcPr>
            <w:tcW w:w="2379" w:type="dxa"/>
          </w:tcPr>
          <w:p>
            <w:pPr>
              <w:pStyle w:val="TableParagraph"/>
              <w:spacing w:before="147"/>
              <w:ind w:left="149"/>
              <w:rPr>
                <w:b/>
                <w:sz w:val="23"/>
              </w:rPr>
            </w:pPr>
            <w:r>
              <w:rPr>
                <w:b/>
                <w:sz w:val="23"/>
              </w:rPr>
              <w:t>Abnormal</w:t>
            </w:r>
            <w:r>
              <w:rPr>
                <w:b/>
                <w:spacing w:val="-8"/>
                <w:sz w:val="23"/>
              </w:rPr>
              <w:t> </w:t>
            </w:r>
            <w:r>
              <w:rPr>
                <w:b/>
                <w:spacing w:val="-2"/>
                <w:sz w:val="23"/>
              </w:rPr>
              <w:t>Threshold</w:t>
            </w:r>
          </w:p>
        </w:tc>
      </w:tr>
      <w:tr>
        <w:trPr>
          <w:trHeight w:val="566" w:hRule="atLeast"/>
        </w:trPr>
        <w:tc>
          <w:tcPr>
            <w:tcW w:w="1198" w:type="dxa"/>
          </w:tcPr>
          <w:p>
            <w:pPr>
              <w:pStyle w:val="TableParagraph"/>
              <w:ind w:left="4"/>
              <w:rPr>
                <w:sz w:val="23"/>
              </w:rPr>
            </w:pPr>
            <w:r>
              <w:rPr>
                <w:spacing w:val="-4"/>
                <w:sz w:val="23"/>
              </w:rPr>
              <w:t>RSVP</w:t>
            </w:r>
          </w:p>
        </w:tc>
        <w:tc>
          <w:tcPr>
            <w:tcW w:w="2274" w:type="dxa"/>
          </w:tcPr>
          <w:p>
            <w:pPr>
              <w:pStyle w:val="TableParagraph"/>
              <w:rPr>
                <w:sz w:val="23"/>
              </w:rPr>
            </w:pPr>
            <w:r>
              <w:rPr>
                <w:sz w:val="23"/>
              </w:rPr>
              <w:t>45.35</w:t>
            </w:r>
            <w:r>
              <w:rPr>
                <w:spacing w:val="-2"/>
                <w:sz w:val="23"/>
              </w:rPr>
              <w:t> </w:t>
            </w:r>
            <w:r>
              <w:rPr>
                <w:sz w:val="23"/>
              </w:rPr>
              <w:t>± 10.64</w:t>
            </w:r>
            <w:r>
              <w:rPr>
                <w:spacing w:val="-3"/>
                <w:sz w:val="23"/>
              </w:rPr>
              <w:t> </w:t>
            </w:r>
            <w:r>
              <w:rPr>
                <w:spacing w:val="-4"/>
                <w:sz w:val="23"/>
              </w:rPr>
              <w:t>mmHg</w:t>
            </w:r>
          </w:p>
        </w:tc>
        <w:tc>
          <w:tcPr>
            <w:tcW w:w="2379" w:type="dxa"/>
          </w:tcPr>
          <w:p>
            <w:pPr>
              <w:pStyle w:val="TableParagraph"/>
              <w:ind w:left="149"/>
              <w:rPr>
                <w:sz w:val="23"/>
              </w:rPr>
            </w:pPr>
            <w:r>
              <w:rPr>
                <w:sz w:val="23"/>
              </w:rPr>
              <w:t>&gt;35 </w:t>
            </w:r>
            <w:r>
              <w:rPr>
                <w:spacing w:val="-4"/>
                <w:sz w:val="23"/>
              </w:rPr>
              <w:t>mmHg</w:t>
            </w:r>
          </w:p>
        </w:tc>
      </w:tr>
      <w:tr>
        <w:trPr>
          <w:trHeight w:val="563" w:hRule="atLeast"/>
        </w:trPr>
        <w:tc>
          <w:tcPr>
            <w:tcW w:w="1198" w:type="dxa"/>
          </w:tcPr>
          <w:p>
            <w:pPr>
              <w:pStyle w:val="TableParagraph"/>
              <w:spacing w:before="142"/>
              <w:ind w:left="4"/>
              <w:rPr>
                <w:sz w:val="23"/>
              </w:rPr>
            </w:pPr>
            <w:r>
              <w:rPr>
                <w:spacing w:val="-2"/>
                <w:sz w:val="23"/>
              </w:rPr>
              <w:t>TAPSE</w:t>
            </w:r>
          </w:p>
        </w:tc>
        <w:tc>
          <w:tcPr>
            <w:tcW w:w="2274" w:type="dxa"/>
          </w:tcPr>
          <w:p>
            <w:pPr>
              <w:pStyle w:val="TableParagraph"/>
              <w:spacing w:before="142"/>
              <w:rPr>
                <w:sz w:val="23"/>
              </w:rPr>
            </w:pPr>
            <w:r>
              <w:rPr>
                <w:sz w:val="23"/>
              </w:rPr>
              <w:t>15.86 ± 3.89</w:t>
            </w:r>
            <w:r>
              <w:rPr>
                <w:spacing w:val="-3"/>
                <w:sz w:val="23"/>
              </w:rPr>
              <w:t> </w:t>
            </w:r>
            <w:r>
              <w:rPr>
                <w:spacing w:val="-5"/>
                <w:sz w:val="23"/>
              </w:rPr>
              <w:t>mm</w:t>
            </w:r>
          </w:p>
        </w:tc>
        <w:tc>
          <w:tcPr>
            <w:tcW w:w="2379" w:type="dxa"/>
          </w:tcPr>
          <w:p>
            <w:pPr>
              <w:pStyle w:val="TableParagraph"/>
              <w:spacing w:before="142"/>
              <w:ind w:left="149"/>
              <w:rPr>
                <w:sz w:val="23"/>
              </w:rPr>
            </w:pPr>
            <w:r>
              <w:rPr>
                <w:sz w:val="23"/>
              </w:rPr>
              <w:t>&lt;17 </w:t>
            </w:r>
            <w:r>
              <w:rPr>
                <w:spacing w:val="-5"/>
                <w:sz w:val="23"/>
              </w:rPr>
              <w:t>mm</w:t>
            </w:r>
          </w:p>
        </w:tc>
      </w:tr>
      <w:tr>
        <w:trPr>
          <w:trHeight w:val="563" w:hRule="atLeast"/>
        </w:trPr>
        <w:tc>
          <w:tcPr>
            <w:tcW w:w="1198" w:type="dxa"/>
          </w:tcPr>
          <w:p>
            <w:pPr>
              <w:pStyle w:val="TableParagraph"/>
              <w:ind w:left="4"/>
              <w:rPr>
                <w:sz w:val="23"/>
              </w:rPr>
            </w:pPr>
            <w:r>
              <w:rPr>
                <w:spacing w:val="-5"/>
                <w:sz w:val="23"/>
              </w:rPr>
              <w:t>RAP</w:t>
            </w:r>
          </w:p>
        </w:tc>
        <w:tc>
          <w:tcPr>
            <w:tcW w:w="2274" w:type="dxa"/>
          </w:tcPr>
          <w:p>
            <w:pPr>
              <w:pStyle w:val="TableParagraph"/>
              <w:rPr>
                <w:sz w:val="23"/>
              </w:rPr>
            </w:pPr>
            <w:r>
              <w:rPr>
                <w:sz w:val="23"/>
              </w:rPr>
              <w:t>8.71</w:t>
            </w:r>
            <w:r>
              <w:rPr>
                <w:spacing w:val="-2"/>
                <w:sz w:val="23"/>
              </w:rPr>
              <w:t> </w:t>
            </w:r>
            <w:r>
              <w:rPr>
                <w:sz w:val="23"/>
              </w:rPr>
              <w:t>± 4.70</w:t>
            </w:r>
            <w:r>
              <w:rPr>
                <w:spacing w:val="-3"/>
                <w:sz w:val="23"/>
              </w:rPr>
              <w:t> </w:t>
            </w:r>
            <w:r>
              <w:rPr>
                <w:spacing w:val="-4"/>
                <w:sz w:val="23"/>
              </w:rPr>
              <w:t>mmHg</w:t>
            </w:r>
          </w:p>
        </w:tc>
        <w:tc>
          <w:tcPr>
            <w:tcW w:w="2379" w:type="dxa"/>
          </w:tcPr>
          <w:p>
            <w:pPr>
              <w:pStyle w:val="TableParagraph"/>
              <w:ind w:left="149"/>
              <w:rPr>
                <w:sz w:val="23"/>
              </w:rPr>
            </w:pPr>
            <w:r>
              <w:rPr>
                <w:sz w:val="23"/>
              </w:rPr>
              <w:t>&gt;8 </w:t>
            </w:r>
            <w:r>
              <w:rPr>
                <w:spacing w:val="-4"/>
                <w:sz w:val="23"/>
              </w:rPr>
              <w:t>mmHg</w:t>
            </w:r>
          </w:p>
        </w:tc>
      </w:tr>
    </w:tbl>
    <w:p>
      <w:pPr>
        <w:pStyle w:val="TableParagraph"/>
        <w:spacing w:after="0"/>
        <w:rPr>
          <w:sz w:val="23"/>
        </w:rPr>
        <w:sectPr>
          <w:pgSz w:w="11910" w:h="16840"/>
          <w:pgMar w:top="1500" w:bottom="280" w:left="1417" w:right="1417"/>
        </w:sectPr>
      </w:pPr>
    </w:p>
    <w:p>
      <w:pPr>
        <w:pStyle w:val="BodyText"/>
        <w:spacing w:before="12"/>
        <w:rPr>
          <w:b/>
        </w:rPr>
      </w:pPr>
    </w:p>
    <w:p>
      <w:pPr>
        <w:spacing w:before="0"/>
        <w:ind w:left="23" w:right="0" w:firstLine="0"/>
        <w:jc w:val="left"/>
        <w:rPr>
          <w:b/>
          <w:sz w:val="24"/>
        </w:rPr>
      </w:pPr>
      <w:r>
        <w:rPr>
          <w:b/>
          <w:sz w:val="24"/>
        </w:rPr>
        <w:t>Table</w:t>
      </w:r>
      <w:r>
        <w:rPr>
          <w:b/>
          <w:spacing w:val="-2"/>
          <w:sz w:val="24"/>
        </w:rPr>
        <w:t> </w:t>
      </w:r>
      <w:r>
        <w:rPr>
          <w:b/>
          <w:sz w:val="24"/>
        </w:rPr>
        <w:t>5:</w:t>
      </w:r>
      <w:r>
        <w:rPr>
          <w:b/>
          <w:spacing w:val="-4"/>
          <w:sz w:val="24"/>
        </w:rPr>
        <w:t> </w:t>
      </w:r>
      <w:r>
        <w:rPr>
          <w:b/>
          <w:sz w:val="24"/>
        </w:rPr>
        <w:t>ICU</w:t>
      </w:r>
      <w:r>
        <w:rPr>
          <w:b/>
          <w:spacing w:val="-2"/>
          <w:sz w:val="24"/>
        </w:rPr>
        <w:t> </w:t>
      </w:r>
      <w:r>
        <w:rPr>
          <w:b/>
          <w:sz w:val="24"/>
        </w:rPr>
        <w:t>Stay</w:t>
      </w:r>
      <w:r>
        <w:rPr>
          <w:b/>
          <w:spacing w:val="-2"/>
          <w:sz w:val="24"/>
        </w:rPr>
        <w:t> </w:t>
      </w:r>
      <w:r>
        <w:rPr>
          <w:b/>
          <w:sz w:val="24"/>
        </w:rPr>
        <w:t>Duration</w:t>
      </w:r>
      <w:r>
        <w:rPr>
          <w:b/>
          <w:spacing w:val="-2"/>
          <w:sz w:val="24"/>
        </w:rPr>
        <w:t> </w:t>
      </w:r>
      <w:r>
        <w:rPr>
          <w:b/>
          <w:sz w:val="24"/>
        </w:rPr>
        <w:t>by</w:t>
      </w:r>
      <w:r>
        <w:rPr>
          <w:b/>
          <w:spacing w:val="-1"/>
          <w:sz w:val="24"/>
        </w:rPr>
        <w:t> </w:t>
      </w:r>
      <w:r>
        <w:rPr>
          <w:b/>
          <w:spacing w:val="-2"/>
          <w:sz w:val="24"/>
        </w:rPr>
        <w:t>Outcome</w:t>
      </w:r>
    </w:p>
    <w:p>
      <w:pPr>
        <w:pStyle w:val="BodyText"/>
        <w:rPr>
          <w:b/>
          <w:sz w:val="18"/>
        </w:rPr>
      </w:pP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8"/>
        <w:gridCol w:w="530"/>
        <w:gridCol w:w="1872"/>
        <w:gridCol w:w="1260"/>
      </w:tblGrid>
      <w:tr>
        <w:trPr>
          <w:trHeight w:val="566" w:hRule="atLeast"/>
        </w:trPr>
        <w:tc>
          <w:tcPr>
            <w:tcW w:w="1478" w:type="dxa"/>
          </w:tcPr>
          <w:p>
            <w:pPr>
              <w:pStyle w:val="TableParagraph"/>
              <w:spacing w:before="150"/>
              <w:ind w:left="4"/>
              <w:rPr>
                <w:b/>
                <w:sz w:val="23"/>
              </w:rPr>
            </w:pPr>
            <w:r>
              <w:rPr>
                <w:b/>
                <w:spacing w:val="-2"/>
                <w:sz w:val="23"/>
              </w:rPr>
              <w:t>Group</w:t>
            </w:r>
          </w:p>
        </w:tc>
        <w:tc>
          <w:tcPr>
            <w:tcW w:w="530" w:type="dxa"/>
          </w:tcPr>
          <w:p>
            <w:pPr>
              <w:pStyle w:val="TableParagraph"/>
              <w:spacing w:before="150"/>
              <w:ind w:left="13" w:right="100"/>
              <w:jc w:val="center"/>
              <w:rPr>
                <w:b/>
                <w:sz w:val="23"/>
              </w:rPr>
            </w:pPr>
            <w:r>
              <w:rPr>
                <w:b/>
                <w:spacing w:val="-10"/>
                <w:sz w:val="23"/>
              </w:rPr>
              <w:t>n</w:t>
            </w:r>
          </w:p>
        </w:tc>
        <w:tc>
          <w:tcPr>
            <w:tcW w:w="1872" w:type="dxa"/>
          </w:tcPr>
          <w:p>
            <w:pPr>
              <w:pStyle w:val="TableParagraph"/>
              <w:spacing w:before="150"/>
              <w:ind w:left="149"/>
              <w:rPr>
                <w:b/>
                <w:sz w:val="23"/>
              </w:rPr>
            </w:pPr>
            <w:r>
              <w:rPr>
                <w:b/>
                <w:sz w:val="23"/>
              </w:rPr>
              <w:t>ICU</w:t>
            </w:r>
            <w:r>
              <w:rPr>
                <w:b/>
                <w:spacing w:val="-3"/>
                <w:sz w:val="23"/>
              </w:rPr>
              <w:t> </w:t>
            </w:r>
            <w:r>
              <w:rPr>
                <w:b/>
                <w:sz w:val="23"/>
              </w:rPr>
              <w:t>Stay</w:t>
            </w:r>
            <w:r>
              <w:rPr>
                <w:b/>
                <w:spacing w:val="-1"/>
                <w:sz w:val="23"/>
              </w:rPr>
              <w:t> </w:t>
            </w:r>
            <w:r>
              <w:rPr>
                <w:b/>
                <w:spacing w:val="-2"/>
                <w:sz w:val="23"/>
              </w:rPr>
              <w:t>(days)</w:t>
            </w:r>
          </w:p>
        </w:tc>
        <w:tc>
          <w:tcPr>
            <w:tcW w:w="1260" w:type="dxa"/>
          </w:tcPr>
          <w:p>
            <w:pPr>
              <w:pStyle w:val="TableParagraph"/>
              <w:spacing w:before="150"/>
              <w:ind w:left="152"/>
              <w:rPr>
                <w:b/>
                <w:sz w:val="23"/>
              </w:rPr>
            </w:pPr>
            <w:r>
              <w:rPr>
                <w:b/>
                <w:spacing w:val="-2"/>
                <w:sz w:val="23"/>
              </w:rPr>
              <w:t>*p*-value</w:t>
            </w:r>
          </w:p>
        </w:tc>
      </w:tr>
      <w:tr>
        <w:trPr>
          <w:trHeight w:val="563" w:hRule="atLeast"/>
        </w:trPr>
        <w:tc>
          <w:tcPr>
            <w:tcW w:w="1478" w:type="dxa"/>
          </w:tcPr>
          <w:p>
            <w:pPr>
              <w:pStyle w:val="TableParagraph"/>
              <w:spacing w:before="142"/>
              <w:ind w:left="4"/>
              <w:rPr>
                <w:sz w:val="23"/>
              </w:rPr>
            </w:pPr>
            <w:r>
              <w:rPr>
                <w:spacing w:val="-2"/>
                <w:sz w:val="23"/>
              </w:rPr>
              <w:t>Non-survivors</w:t>
            </w:r>
          </w:p>
        </w:tc>
        <w:tc>
          <w:tcPr>
            <w:tcW w:w="530" w:type="dxa"/>
          </w:tcPr>
          <w:p>
            <w:pPr>
              <w:pStyle w:val="TableParagraph"/>
              <w:spacing w:before="142"/>
              <w:ind w:left="100" w:right="87"/>
              <w:jc w:val="center"/>
              <w:rPr>
                <w:sz w:val="23"/>
              </w:rPr>
            </w:pPr>
            <w:r>
              <w:rPr>
                <w:spacing w:val="-5"/>
                <w:sz w:val="23"/>
              </w:rPr>
              <w:t>26</w:t>
            </w:r>
          </w:p>
        </w:tc>
        <w:tc>
          <w:tcPr>
            <w:tcW w:w="1872" w:type="dxa"/>
          </w:tcPr>
          <w:p>
            <w:pPr>
              <w:pStyle w:val="TableParagraph"/>
              <w:spacing w:before="142"/>
              <w:ind w:left="149"/>
              <w:rPr>
                <w:sz w:val="23"/>
              </w:rPr>
            </w:pPr>
            <w:r>
              <w:rPr>
                <w:sz w:val="23"/>
              </w:rPr>
              <w:t>26.88 ± </w:t>
            </w:r>
            <w:r>
              <w:rPr>
                <w:spacing w:val="-2"/>
                <w:sz w:val="23"/>
              </w:rPr>
              <w:t>16.82</w:t>
            </w:r>
          </w:p>
        </w:tc>
        <w:tc>
          <w:tcPr>
            <w:tcW w:w="1260" w:type="dxa"/>
          </w:tcPr>
          <w:p>
            <w:pPr>
              <w:pStyle w:val="TableParagraph"/>
              <w:spacing w:before="147"/>
              <w:ind w:left="152"/>
              <w:rPr>
                <w:b/>
                <w:sz w:val="23"/>
              </w:rPr>
            </w:pPr>
            <w:r>
              <w:rPr>
                <w:b/>
                <w:spacing w:val="-2"/>
                <w:sz w:val="23"/>
              </w:rPr>
              <w:t>0.001</w:t>
            </w:r>
          </w:p>
        </w:tc>
      </w:tr>
      <w:tr>
        <w:trPr>
          <w:trHeight w:val="563" w:hRule="atLeast"/>
        </w:trPr>
        <w:tc>
          <w:tcPr>
            <w:tcW w:w="1478" w:type="dxa"/>
          </w:tcPr>
          <w:p>
            <w:pPr>
              <w:pStyle w:val="TableParagraph"/>
              <w:ind w:left="4"/>
              <w:rPr>
                <w:sz w:val="23"/>
              </w:rPr>
            </w:pPr>
            <w:r>
              <w:rPr>
                <w:spacing w:val="-2"/>
                <w:sz w:val="23"/>
              </w:rPr>
              <w:t>Survivors</w:t>
            </w:r>
          </w:p>
        </w:tc>
        <w:tc>
          <w:tcPr>
            <w:tcW w:w="530" w:type="dxa"/>
          </w:tcPr>
          <w:p>
            <w:pPr>
              <w:pStyle w:val="TableParagraph"/>
              <w:ind w:left="100" w:right="87"/>
              <w:jc w:val="center"/>
              <w:rPr>
                <w:sz w:val="23"/>
              </w:rPr>
            </w:pPr>
            <w:r>
              <w:rPr>
                <w:spacing w:val="-5"/>
                <w:sz w:val="23"/>
              </w:rPr>
              <w:t>36</w:t>
            </w:r>
          </w:p>
        </w:tc>
        <w:tc>
          <w:tcPr>
            <w:tcW w:w="1872" w:type="dxa"/>
          </w:tcPr>
          <w:p>
            <w:pPr>
              <w:pStyle w:val="TableParagraph"/>
              <w:ind w:left="149"/>
              <w:rPr>
                <w:sz w:val="23"/>
              </w:rPr>
            </w:pPr>
            <w:r>
              <w:rPr>
                <w:sz w:val="23"/>
              </w:rPr>
              <w:t>11.97 ± </w:t>
            </w:r>
            <w:r>
              <w:rPr>
                <w:spacing w:val="-4"/>
                <w:sz w:val="23"/>
              </w:rPr>
              <w:t>6.47</w:t>
            </w:r>
          </w:p>
        </w:tc>
        <w:tc>
          <w:tcPr>
            <w:tcW w:w="1260" w:type="dxa"/>
          </w:tcPr>
          <w:p>
            <w:pPr>
              <w:pStyle w:val="TableParagraph"/>
              <w:spacing w:before="0"/>
              <w:ind w:left="0"/>
              <w:rPr>
                <w:sz w:val="22"/>
              </w:rPr>
            </w:pPr>
          </w:p>
        </w:tc>
      </w:tr>
    </w:tbl>
    <w:p>
      <w:pPr>
        <w:pStyle w:val="BodyText"/>
        <w:spacing w:before="82"/>
        <w:rPr>
          <w:b/>
        </w:rPr>
      </w:pPr>
    </w:p>
    <w:p>
      <w:pPr>
        <w:spacing w:before="0"/>
        <w:ind w:left="23" w:right="0" w:firstLine="0"/>
        <w:jc w:val="left"/>
        <w:rPr>
          <w:b/>
          <w:sz w:val="24"/>
        </w:rPr>
      </w:pPr>
      <w:r>
        <w:rPr>
          <w:b/>
          <w:sz w:val="24"/>
        </w:rPr>
        <w:t>Table</w:t>
      </w:r>
      <w:r>
        <w:rPr>
          <w:b/>
          <w:spacing w:val="-4"/>
          <w:sz w:val="24"/>
        </w:rPr>
        <w:t> </w:t>
      </w:r>
      <w:r>
        <w:rPr>
          <w:b/>
          <w:sz w:val="24"/>
        </w:rPr>
        <w:t>6:</w:t>
      </w:r>
      <w:r>
        <w:rPr>
          <w:b/>
          <w:spacing w:val="-6"/>
          <w:sz w:val="24"/>
        </w:rPr>
        <w:t> </w:t>
      </w:r>
      <w:r>
        <w:rPr>
          <w:b/>
          <w:sz w:val="24"/>
        </w:rPr>
        <w:t>Echocardiographic</w:t>
      </w:r>
      <w:r>
        <w:rPr>
          <w:b/>
          <w:spacing w:val="-3"/>
          <w:sz w:val="24"/>
        </w:rPr>
        <w:t> </w:t>
      </w:r>
      <w:r>
        <w:rPr>
          <w:b/>
          <w:sz w:val="24"/>
        </w:rPr>
        <w:t>Comparison</w:t>
      </w:r>
      <w:r>
        <w:rPr>
          <w:b/>
          <w:spacing w:val="-3"/>
          <w:sz w:val="24"/>
        </w:rPr>
        <w:t> </w:t>
      </w:r>
      <w:r>
        <w:rPr>
          <w:b/>
          <w:sz w:val="24"/>
        </w:rPr>
        <w:t>by</w:t>
      </w:r>
      <w:r>
        <w:rPr>
          <w:b/>
          <w:spacing w:val="-3"/>
          <w:sz w:val="24"/>
        </w:rPr>
        <w:t> </w:t>
      </w:r>
      <w:r>
        <w:rPr>
          <w:b/>
          <w:spacing w:val="-2"/>
          <w:sz w:val="24"/>
        </w:rPr>
        <w:t>Outcome</w:t>
      </w:r>
    </w:p>
    <w:p>
      <w:pPr>
        <w:pStyle w:val="BodyText"/>
        <w:spacing w:before="2" w:after="1"/>
        <w:rPr>
          <w:b/>
          <w:sz w:val="18"/>
        </w:rPr>
      </w:pP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7"/>
        <w:gridCol w:w="1707"/>
        <w:gridCol w:w="1462"/>
        <w:gridCol w:w="1260"/>
      </w:tblGrid>
      <w:tr>
        <w:trPr>
          <w:trHeight w:val="563" w:hRule="atLeast"/>
        </w:trPr>
        <w:tc>
          <w:tcPr>
            <w:tcW w:w="1447" w:type="dxa"/>
          </w:tcPr>
          <w:p>
            <w:pPr>
              <w:pStyle w:val="TableParagraph"/>
              <w:spacing w:before="150"/>
              <w:ind w:left="4"/>
              <w:rPr>
                <w:b/>
                <w:sz w:val="23"/>
              </w:rPr>
            </w:pPr>
            <w:r>
              <w:rPr>
                <w:b/>
                <w:spacing w:val="-2"/>
                <w:sz w:val="23"/>
              </w:rPr>
              <w:t>Parameter</w:t>
            </w:r>
          </w:p>
        </w:tc>
        <w:tc>
          <w:tcPr>
            <w:tcW w:w="1707" w:type="dxa"/>
          </w:tcPr>
          <w:p>
            <w:pPr>
              <w:pStyle w:val="TableParagraph"/>
              <w:spacing w:before="150"/>
              <w:ind w:left="151"/>
              <w:rPr>
                <w:b/>
                <w:sz w:val="23"/>
              </w:rPr>
            </w:pPr>
            <w:r>
              <w:rPr>
                <w:b/>
                <w:spacing w:val="-2"/>
                <w:sz w:val="23"/>
              </w:rPr>
              <w:t>Non-survivors</w:t>
            </w:r>
          </w:p>
        </w:tc>
        <w:tc>
          <w:tcPr>
            <w:tcW w:w="1462" w:type="dxa"/>
          </w:tcPr>
          <w:p>
            <w:pPr>
              <w:pStyle w:val="TableParagraph"/>
              <w:spacing w:before="150"/>
              <w:ind w:left="151"/>
              <w:rPr>
                <w:b/>
                <w:sz w:val="23"/>
              </w:rPr>
            </w:pPr>
            <w:r>
              <w:rPr>
                <w:b/>
                <w:spacing w:val="-2"/>
                <w:sz w:val="23"/>
              </w:rPr>
              <w:t>Survivors</w:t>
            </w:r>
          </w:p>
        </w:tc>
        <w:tc>
          <w:tcPr>
            <w:tcW w:w="1260" w:type="dxa"/>
          </w:tcPr>
          <w:p>
            <w:pPr>
              <w:pStyle w:val="TableParagraph"/>
              <w:spacing w:before="150"/>
              <w:ind w:left="151"/>
              <w:rPr>
                <w:b/>
                <w:sz w:val="23"/>
              </w:rPr>
            </w:pPr>
            <w:r>
              <w:rPr>
                <w:b/>
                <w:spacing w:val="-2"/>
                <w:sz w:val="23"/>
              </w:rPr>
              <w:t>*p*-value</w:t>
            </w:r>
          </w:p>
        </w:tc>
      </w:tr>
      <w:tr>
        <w:trPr>
          <w:trHeight w:val="566" w:hRule="atLeast"/>
        </w:trPr>
        <w:tc>
          <w:tcPr>
            <w:tcW w:w="1447" w:type="dxa"/>
          </w:tcPr>
          <w:p>
            <w:pPr>
              <w:pStyle w:val="TableParagraph"/>
              <w:ind w:left="4"/>
              <w:rPr>
                <w:sz w:val="23"/>
              </w:rPr>
            </w:pPr>
            <w:r>
              <w:rPr>
                <w:sz w:val="23"/>
              </w:rPr>
              <w:t>RAP</w:t>
            </w:r>
            <w:r>
              <w:rPr>
                <w:spacing w:val="-3"/>
                <w:sz w:val="23"/>
              </w:rPr>
              <w:t> </w:t>
            </w:r>
            <w:r>
              <w:rPr>
                <w:spacing w:val="-2"/>
                <w:sz w:val="23"/>
              </w:rPr>
              <w:t>(mmHg)</w:t>
            </w:r>
          </w:p>
        </w:tc>
        <w:tc>
          <w:tcPr>
            <w:tcW w:w="1707" w:type="dxa"/>
          </w:tcPr>
          <w:p>
            <w:pPr>
              <w:pStyle w:val="TableParagraph"/>
              <w:ind w:left="151"/>
              <w:rPr>
                <w:sz w:val="23"/>
              </w:rPr>
            </w:pPr>
            <w:r>
              <w:rPr>
                <w:sz w:val="23"/>
              </w:rPr>
              <w:t>7.88 ± </w:t>
            </w:r>
            <w:r>
              <w:rPr>
                <w:spacing w:val="-4"/>
                <w:sz w:val="23"/>
              </w:rPr>
              <w:t>4.51</w:t>
            </w:r>
          </w:p>
        </w:tc>
        <w:tc>
          <w:tcPr>
            <w:tcW w:w="1462" w:type="dxa"/>
          </w:tcPr>
          <w:p>
            <w:pPr>
              <w:pStyle w:val="TableParagraph"/>
              <w:ind w:left="151"/>
              <w:rPr>
                <w:sz w:val="23"/>
              </w:rPr>
            </w:pPr>
            <w:r>
              <w:rPr>
                <w:sz w:val="23"/>
              </w:rPr>
              <w:t>9.31 ± </w:t>
            </w:r>
            <w:r>
              <w:rPr>
                <w:spacing w:val="-4"/>
                <w:sz w:val="23"/>
              </w:rPr>
              <w:t>4.80</w:t>
            </w:r>
          </w:p>
        </w:tc>
        <w:tc>
          <w:tcPr>
            <w:tcW w:w="1260" w:type="dxa"/>
          </w:tcPr>
          <w:p>
            <w:pPr>
              <w:pStyle w:val="TableParagraph"/>
              <w:ind w:left="151"/>
              <w:rPr>
                <w:sz w:val="23"/>
              </w:rPr>
            </w:pPr>
            <w:r>
              <w:rPr>
                <w:spacing w:val="-2"/>
                <w:sz w:val="23"/>
              </w:rPr>
              <w:t>0.239</w:t>
            </w:r>
          </w:p>
        </w:tc>
      </w:tr>
      <w:tr>
        <w:trPr>
          <w:trHeight w:val="563" w:hRule="atLeast"/>
        </w:trPr>
        <w:tc>
          <w:tcPr>
            <w:tcW w:w="1447" w:type="dxa"/>
          </w:tcPr>
          <w:p>
            <w:pPr>
              <w:pStyle w:val="TableParagraph"/>
              <w:spacing w:before="142"/>
              <w:ind w:left="4"/>
              <w:rPr>
                <w:sz w:val="23"/>
              </w:rPr>
            </w:pPr>
            <w:r>
              <w:rPr>
                <w:sz w:val="23"/>
              </w:rPr>
              <w:t>TAPSE</w:t>
            </w:r>
            <w:r>
              <w:rPr>
                <w:spacing w:val="-5"/>
                <w:sz w:val="23"/>
              </w:rPr>
              <w:t> </w:t>
            </w:r>
            <w:r>
              <w:rPr>
                <w:spacing w:val="-4"/>
                <w:sz w:val="23"/>
              </w:rPr>
              <w:t>(mm)</w:t>
            </w:r>
          </w:p>
        </w:tc>
        <w:tc>
          <w:tcPr>
            <w:tcW w:w="1707" w:type="dxa"/>
          </w:tcPr>
          <w:p>
            <w:pPr>
              <w:pStyle w:val="TableParagraph"/>
              <w:spacing w:before="142"/>
              <w:ind w:left="151"/>
              <w:rPr>
                <w:sz w:val="23"/>
              </w:rPr>
            </w:pPr>
            <w:r>
              <w:rPr>
                <w:sz w:val="23"/>
              </w:rPr>
              <w:t>16.58 ± </w:t>
            </w:r>
            <w:r>
              <w:rPr>
                <w:spacing w:val="-4"/>
                <w:sz w:val="23"/>
              </w:rPr>
              <w:t>2.96</w:t>
            </w:r>
          </w:p>
        </w:tc>
        <w:tc>
          <w:tcPr>
            <w:tcW w:w="1462" w:type="dxa"/>
          </w:tcPr>
          <w:p>
            <w:pPr>
              <w:pStyle w:val="TableParagraph"/>
              <w:spacing w:before="142"/>
              <w:ind w:left="151"/>
              <w:rPr>
                <w:sz w:val="23"/>
              </w:rPr>
            </w:pPr>
            <w:r>
              <w:rPr>
                <w:sz w:val="23"/>
              </w:rPr>
              <w:t>15.33 ± </w:t>
            </w:r>
            <w:r>
              <w:rPr>
                <w:spacing w:val="-4"/>
                <w:sz w:val="23"/>
              </w:rPr>
              <w:t>4.41</w:t>
            </w:r>
          </w:p>
        </w:tc>
        <w:tc>
          <w:tcPr>
            <w:tcW w:w="1260" w:type="dxa"/>
          </w:tcPr>
          <w:p>
            <w:pPr>
              <w:pStyle w:val="TableParagraph"/>
              <w:spacing w:before="142"/>
              <w:ind w:left="151"/>
              <w:rPr>
                <w:sz w:val="23"/>
              </w:rPr>
            </w:pPr>
            <w:r>
              <w:rPr>
                <w:spacing w:val="-2"/>
                <w:sz w:val="23"/>
              </w:rPr>
              <w:t>0.189</w:t>
            </w:r>
          </w:p>
        </w:tc>
      </w:tr>
    </w:tbl>
    <w:p>
      <w:pPr>
        <w:pStyle w:val="BodyText"/>
        <w:rPr>
          <w:b/>
        </w:rPr>
      </w:pPr>
    </w:p>
    <w:p>
      <w:pPr>
        <w:pStyle w:val="BodyText"/>
        <w:rPr>
          <w:b/>
        </w:rPr>
      </w:pPr>
    </w:p>
    <w:p>
      <w:pPr>
        <w:pStyle w:val="BodyText"/>
        <w:spacing w:before="166"/>
        <w:rPr>
          <w:b/>
        </w:rPr>
      </w:pPr>
    </w:p>
    <w:p>
      <w:pPr>
        <w:spacing w:before="0"/>
        <w:ind w:left="23" w:right="0" w:firstLine="0"/>
        <w:jc w:val="left"/>
        <w:rPr>
          <w:b/>
          <w:sz w:val="24"/>
        </w:rPr>
      </w:pPr>
      <w:r>
        <w:rPr>
          <w:b/>
          <w:sz w:val="24"/>
        </w:rPr>
        <w:t>Table</w:t>
      </w:r>
      <w:r>
        <w:rPr>
          <w:b/>
          <w:spacing w:val="-5"/>
          <w:sz w:val="24"/>
        </w:rPr>
        <w:t> </w:t>
      </w:r>
      <w:r>
        <w:rPr>
          <w:b/>
          <w:sz w:val="24"/>
        </w:rPr>
        <w:t>7:</w:t>
      </w:r>
      <w:r>
        <w:rPr>
          <w:b/>
          <w:spacing w:val="-4"/>
          <w:sz w:val="24"/>
        </w:rPr>
        <w:t> </w:t>
      </w:r>
      <w:r>
        <w:rPr>
          <w:b/>
          <w:sz w:val="24"/>
        </w:rPr>
        <w:t>Mortality</w:t>
      </w:r>
      <w:r>
        <w:rPr>
          <w:b/>
          <w:spacing w:val="-1"/>
          <w:sz w:val="24"/>
        </w:rPr>
        <w:t> </w:t>
      </w:r>
      <w:r>
        <w:rPr>
          <w:b/>
          <w:sz w:val="24"/>
        </w:rPr>
        <w:t>Predictors</w:t>
      </w:r>
      <w:r>
        <w:rPr>
          <w:b/>
          <w:spacing w:val="-3"/>
          <w:sz w:val="24"/>
        </w:rPr>
        <w:t> </w:t>
      </w:r>
      <w:r>
        <w:rPr>
          <w:b/>
          <w:sz w:val="24"/>
        </w:rPr>
        <w:t>(Cox</w:t>
      </w:r>
      <w:r>
        <w:rPr>
          <w:b/>
          <w:spacing w:val="2"/>
          <w:sz w:val="24"/>
        </w:rPr>
        <w:t> </w:t>
      </w:r>
      <w:r>
        <w:rPr>
          <w:b/>
          <w:spacing w:val="-2"/>
          <w:sz w:val="24"/>
        </w:rPr>
        <w:t>Regression)</w:t>
      </w:r>
    </w:p>
    <w:p>
      <w:pPr>
        <w:pStyle w:val="BodyText"/>
        <w:rPr>
          <w:b/>
          <w:sz w:val="18"/>
        </w:rPr>
      </w:pP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72"/>
        <w:gridCol w:w="1834"/>
        <w:gridCol w:w="1042"/>
      </w:tblGrid>
      <w:tr>
        <w:trPr>
          <w:trHeight w:val="563" w:hRule="atLeast"/>
        </w:trPr>
        <w:tc>
          <w:tcPr>
            <w:tcW w:w="3272" w:type="dxa"/>
          </w:tcPr>
          <w:p>
            <w:pPr>
              <w:pStyle w:val="TableParagraph"/>
              <w:spacing w:before="150"/>
              <w:ind w:left="4"/>
              <w:rPr>
                <w:b/>
                <w:sz w:val="23"/>
              </w:rPr>
            </w:pPr>
            <w:r>
              <w:rPr>
                <w:b/>
                <w:spacing w:val="-2"/>
                <w:sz w:val="23"/>
              </w:rPr>
              <w:t>Predictor</w:t>
            </w:r>
          </w:p>
        </w:tc>
        <w:tc>
          <w:tcPr>
            <w:tcW w:w="1834" w:type="dxa"/>
          </w:tcPr>
          <w:p>
            <w:pPr>
              <w:pStyle w:val="TableParagraph"/>
              <w:spacing w:before="150"/>
              <w:rPr>
                <w:b/>
                <w:sz w:val="23"/>
              </w:rPr>
            </w:pPr>
            <w:r>
              <w:rPr>
                <w:b/>
                <w:sz w:val="23"/>
              </w:rPr>
              <w:t>HR</w:t>
            </w:r>
            <w:r>
              <w:rPr>
                <w:b/>
                <w:spacing w:val="-3"/>
                <w:sz w:val="23"/>
              </w:rPr>
              <w:t> </w:t>
            </w:r>
            <w:r>
              <w:rPr>
                <w:b/>
                <w:sz w:val="23"/>
              </w:rPr>
              <w:t>(95%</w:t>
            </w:r>
            <w:r>
              <w:rPr>
                <w:b/>
                <w:spacing w:val="1"/>
                <w:sz w:val="23"/>
              </w:rPr>
              <w:t> </w:t>
            </w:r>
            <w:r>
              <w:rPr>
                <w:b/>
                <w:spacing w:val="-5"/>
                <w:sz w:val="23"/>
              </w:rPr>
              <w:t>CI)</w:t>
            </w:r>
          </w:p>
        </w:tc>
        <w:tc>
          <w:tcPr>
            <w:tcW w:w="1042" w:type="dxa"/>
          </w:tcPr>
          <w:p>
            <w:pPr>
              <w:pStyle w:val="TableParagraph"/>
              <w:spacing w:before="150"/>
              <w:rPr>
                <w:b/>
                <w:sz w:val="23"/>
              </w:rPr>
            </w:pPr>
            <w:r>
              <w:rPr>
                <w:b/>
                <w:sz w:val="23"/>
              </w:rPr>
              <w:t>P-</w:t>
            </w:r>
            <w:r>
              <w:rPr>
                <w:b/>
                <w:spacing w:val="-2"/>
                <w:sz w:val="23"/>
              </w:rPr>
              <w:t>value</w:t>
            </w:r>
          </w:p>
        </w:tc>
      </w:tr>
      <w:tr>
        <w:trPr>
          <w:trHeight w:val="566" w:hRule="atLeast"/>
        </w:trPr>
        <w:tc>
          <w:tcPr>
            <w:tcW w:w="3272" w:type="dxa"/>
          </w:tcPr>
          <w:p>
            <w:pPr>
              <w:pStyle w:val="TableParagraph"/>
              <w:ind w:left="4"/>
              <w:rPr>
                <w:sz w:val="23"/>
              </w:rPr>
            </w:pPr>
            <w:r>
              <w:rPr>
                <w:sz w:val="23"/>
              </w:rPr>
              <w:t>Age</w:t>
            </w:r>
            <w:r>
              <w:rPr>
                <w:spacing w:val="-2"/>
                <w:sz w:val="23"/>
              </w:rPr>
              <w:t> </w:t>
            </w:r>
            <w:r>
              <w:rPr>
                <w:sz w:val="23"/>
              </w:rPr>
              <w:t>(per </w:t>
            </w:r>
            <w:r>
              <w:rPr>
                <w:spacing w:val="-2"/>
                <w:sz w:val="23"/>
              </w:rPr>
              <w:t>year)</w:t>
            </w:r>
          </w:p>
        </w:tc>
        <w:tc>
          <w:tcPr>
            <w:tcW w:w="1834" w:type="dxa"/>
          </w:tcPr>
          <w:p>
            <w:pPr>
              <w:pStyle w:val="TableParagraph"/>
              <w:rPr>
                <w:sz w:val="23"/>
              </w:rPr>
            </w:pPr>
            <w:r>
              <w:rPr>
                <w:sz w:val="23"/>
              </w:rPr>
              <w:t>1.03 </w:t>
            </w:r>
            <w:r>
              <w:rPr>
                <w:spacing w:val="-2"/>
                <w:sz w:val="23"/>
              </w:rPr>
              <w:t>(1.01–1.05)</w:t>
            </w:r>
          </w:p>
        </w:tc>
        <w:tc>
          <w:tcPr>
            <w:tcW w:w="1042" w:type="dxa"/>
          </w:tcPr>
          <w:p>
            <w:pPr>
              <w:pStyle w:val="TableParagraph"/>
              <w:rPr>
                <w:sz w:val="23"/>
              </w:rPr>
            </w:pPr>
            <w:r>
              <w:rPr>
                <w:spacing w:val="-2"/>
                <w:sz w:val="23"/>
              </w:rPr>
              <w:t>0.002</w:t>
            </w:r>
          </w:p>
        </w:tc>
      </w:tr>
      <w:tr>
        <w:trPr>
          <w:trHeight w:val="563" w:hRule="atLeast"/>
        </w:trPr>
        <w:tc>
          <w:tcPr>
            <w:tcW w:w="3272" w:type="dxa"/>
          </w:tcPr>
          <w:p>
            <w:pPr>
              <w:pStyle w:val="TableParagraph"/>
              <w:ind w:left="4"/>
              <w:rPr>
                <w:sz w:val="23"/>
              </w:rPr>
            </w:pPr>
            <w:r>
              <w:rPr>
                <w:sz w:val="23"/>
              </w:rPr>
              <w:t>Hyponatremia</w:t>
            </w:r>
            <w:r>
              <w:rPr>
                <w:spacing w:val="-3"/>
                <w:sz w:val="23"/>
              </w:rPr>
              <w:t> </w:t>
            </w:r>
            <w:r>
              <w:rPr>
                <w:sz w:val="23"/>
              </w:rPr>
              <w:t>(Na</w:t>
            </w:r>
            <w:r>
              <w:rPr>
                <w:spacing w:val="-4"/>
                <w:sz w:val="23"/>
              </w:rPr>
              <w:t> </w:t>
            </w:r>
            <w:r>
              <w:rPr>
                <w:sz w:val="23"/>
              </w:rPr>
              <w:t>≤136</w:t>
            </w:r>
            <w:r>
              <w:rPr>
                <w:spacing w:val="-4"/>
                <w:sz w:val="23"/>
              </w:rPr>
              <w:t> </w:t>
            </w:r>
            <w:r>
              <w:rPr>
                <w:spacing w:val="-2"/>
                <w:sz w:val="23"/>
              </w:rPr>
              <w:t>mmol/L)</w:t>
            </w:r>
          </w:p>
        </w:tc>
        <w:tc>
          <w:tcPr>
            <w:tcW w:w="1834" w:type="dxa"/>
          </w:tcPr>
          <w:p>
            <w:pPr>
              <w:pStyle w:val="TableParagraph"/>
              <w:rPr>
                <w:sz w:val="23"/>
              </w:rPr>
            </w:pPr>
            <w:r>
              <w:rPr>
                <w:sz w:val="23"/>
              </w:rPr>
              <w:t>2.89 </w:t>
            </w:r>
            <w:r>
              <w:rPr>
                <w:spacing w:val="-2"/>
                <w:sz w:val="23"/>
              </w:rPr>
              <w:t>(1.56–5.35)</w:t>
            </w:r>
          </w:p>
        </w:tc>
        <w:tc>
          <w:tcPr>
            <w:tcW w:w="1042" w:type="dxa"/>
          </w:tcPr>
          <w:p>
            <w:pPr>
              <w:pStyle w:val="TableParagraph"/>
              <w:rPr>
                <w:sz w:val="23"/>
              </w:rPr>
            </w:pPr>
            <w:r>
              <w:rPr>
                <w:spacing w:val="-2"/>
                <w:sz w:val="23"/>
              </w:rPr>
              <w:t>&lt;0.001</w:t>
            </w:r>
          </w:p>
        </w:tc>
      </w:tr>
      <w:tr>
        <w:trPr>
          <w:trHeight w:val="566" w:hRule="atLeast"/>
        </w:trPr>
        <w:tc>
          <w:tcPr>
            <w:tcW w:w="3272" w:type="dxa"/>
          </w:tcPr>
          <w:p>
            <w:pPr>
              <w:pStyle w:val="TableParagraph"/>
              <w:ind w:left="4"/>
              <w:rPr>
                <w:sz w:val="23"/>
              </w:rPr>
            </w:pPr>
            <w:r>
              <w:rPr>
                <w:sz w:val="23"/>
              </w:rPr>
              <w:t>Creatinine</w:t>
            </w:r>
            <w:r>
              <w:rPr>
                <w:spacing w:val="-4"/>
                <w:sz w:val="23"/>
              </w:rPr>
              <w:t> </w:t>
            </w:r>
            <w:r>
              <w:rPr>
                <w:sz w:val="23"/>
              </w:rPr>
              <w:t>(per</w:t>
            </w:r>
            <w:r>
              <w:rPr>
                <w:spacing w:val="-3"/>
                <w:sz w:val="23"/>
              </w:rPr>
              <w:t> </w:t>
            </w:r>
            <w:r>
              <w:rPr>
                <w:spacing w:val="-2"/>
                <w:sz w:val="23"/>
              </w:rPr>
              <w:t>mg/dL)</w:t>
            </w:r>
          </w:p>
        </w:tc>
        <w:tc>
          <w:tcPr>
            <w:tcW w:w="1834" w:type="dxa"/>
          </w:tcPr>
          <w:p>
            <w:pPr>
              <w:pStyle w:val="TableParagraph"/>
              <w:rPr>
                <w:sz w:val="23"/>
              </w:rPr>
            </w:pPr>
            <w:r>
              <w:rPr>
                <w:sz w:val="23"/>
              </w:rPr>
              <w:t>1.25 </w:t>
            </w:r>
            <w:r>
              <w:rPr>
                <w:spacing w:val="-2"/>
                <w:sz w:val="23"/>
              </w:rPr>
              <w:t>(1.10–1.42)</w:t>
            </w:r>
          </w:p>
        </w:tc>
        <w:tc>
          <w:tcPr>
            <w:tcW w:w="1042" w:type="dxa"/>
          </w:tcPr>
          <w:p>
            <w:pPr>
              <w:pStyle w:val="TableParagraph"/>
              <w:rPr>
                <w:sz w:val="23"/>
              </w:rPr>
            </w:pPr>
            <w:r>
              <w:rPr>
                <w:spacing w:val="-2"/>
                <w:sz w:val="23"/>
              </w:rPr>
              <w:t>0.001</w:t>
            </w:r>
          </w:p>
        </w:tc>
      </w:tr>
      <w:tr>
        <w:trPr>
          <w:trHeight w:val="564" w:hRule="atLeast"/>
        </w:trPr>
        <w:tc>
          <w:tcPr>
            <w:tcW w:w="3272" w:type="dxa"/>
          </w:tcPr>
          <w:p>
            <w:pPr>
              <w:pStyle w:val="TableParagraph"/>
              <w:spacing w:before="143"/>
              <w:ind w:left="4"/>
              <w:rPr>
                <w:sz w:val="23"/>
              </w:rPr>
            </w:pPr>
            <w:r>
              <w:rPr>
                <w:sz w:val="23"/>
              </w:rPr>
              <w:t>RAP</w:t>
            </w:r>
            <w:r>
              <w:rPr>
                <w:spacing w:val="-4"/>
                <w:sz w:val="23"/>
              </w:rPr>
              <w:t> </w:t>
            </w:r>
            <w:r>
              <w:rPr>
                <w:sz w:val="23"/>
              </w:rPr>
              <w:t>&gt;8</w:t>
            </w:r>
            <w:r>
              <w:rPr>
                <w:spacing w:val="-1"/>
                <w:sz w:val="23"/>
              </w:rPr>
              <w:t> </w:t>
            </w:r>
            <w:r>
              <w:rPr>
                <w:spacing w:val="-4"/>
                <w:sz w:val="23"/>
              </w:rPr>
              <w:t>mmHg</w:t>
            </w:r>
          </w:p>
        </w:tc>
        <w:tc>
          <w:tcPr>
            <w:tcW w:w="1834" w:type="dxa"/>
          </w:tcPr>
          <w:p>
            <w:pPr>
              <w:pStyle w:val="TableParagraph"/>
              <w:spacing w:before="143"/>
              <w:rPr>
                <w:sz w:val="23"/>
              </w:rPr>
            </w:pPr>
            <w:r>
              <w:rPr>
                <w:sz w:val="23"/>
              </w:rPr>
              <w:t>1.78 </w:t>
            </w:r>
            <w:r>
              <w:rPr>
                <w:spacing w:val="-2"/>
                <w:sz w:val="23"/>
              </w:rPr>
              <w:t>(1.22–2.60)</w:t>
            </w:r>
          </w:p>
        </w:tc>
        <w:tc>
          <w:tcPr>
            <w:tcW w:w="1042" w:type="dxa"/>
          </w:tcPr>
          <w:p>
            <w:pPr>
              <w:pStyle w:val="TableParagraph"/>
              <w:spacing w:before="143"/>
              <w:rPr>
                <w:sz w:val="23"/>
              </w:rPr>
            </w:pPr>
            <w:r>
              <w:rPr>
                <w:spacing w:val="-2"/>
                <w:sz w:val="23"/>
              </w:rPr>
              <w:t>0.003</w:t>
            </w:r>
          </w:p>
        </w:tc>
      </w:tr>
      <w:tr>
        <w:trPr>
          <w:trHeight w:val="563" w:hRule="atLeast"/>
        </w:trPr>
        <w:tc>
          <w:tcPr>
            <w:tcW w:w="3272" w:type="dxa"/>
          </w:tcPr>
          <w:p>
            <w:pPr>
              <w:pStyle w:val="TableParagraph"/>
              <w:ind w:left="4"/>
              <w:rPr>
                <w:sz w:val="23"/>
              </w:rPr>
            </w:pPr>
            <w:r>
              <w:rPr>
                <w:sz w:val="23"/>
              </w:rPr>
              <w:t>ICU</w:t>
            </w:r>
            <w:r>
              <w:rPr>
                <w:spacing w:val="-4"/>
                <w:sz w:val="23"/>
              </w:rPr>
              <w:t> </w:t>
            </w:r>
            <w:r>
              <w:rPr>
                <w:sz w:val="23"/>
              </w:rPr>
              <w:t>stay</w:t>
            </w:r>
            <w:r>
              <w:rPr>
                <w:spacing w:val="-6"/>
                <w:sz w:val="23"/>
              </w:rPr>
              <w:t> </w:t>
            </w:r>
            <w:r>
              <w:rPr>
                <w:sz w:val="23"/>
              </w:rPr>
              <w:t>&gt;20 </w:t>
            </w:r>
            <w:r>
              <w:rPr>
                <w:spacing w:val="-4"/>
                <w:sz w:val="23"/>
              </w:rPr>
              <w:t>days</w:t>
            </w:r>
          </w:p>
        </w:tc>
        <w:tc>
          <w:tcPr>
            <w:tcW w:w="1834" w:type="dxa"/>
          </w:tcPr>
          <w:p>
            <w:pPr>
              <w:pStyle w:val="TableParagraph"/>
              <w:rPr>
                <w:sz w:val="23"/>
              </w:rPr>
            </w:pPr>
            <w:r>
              <w:rPr>
                <w:sz w:val="23"/>
              </w:rPr>
              <w:t>3.14 </w:t>
            </w:r>
            <w:r>
              <w:rPr>
                <w:spacing w:val="-2"/>
                <w:sz w:val="23"/>
              </w:rPr>
              <w:t>(1.92–5.14)</w:t>
            </w:r>
          </w:p>
        </w:tc>
        <w:tc>
          <w:tcPr>
            <w:tcW w:w="1042" w:type="dxa"/>
          </w:tcPr>
          <w:p>
            <w:pPr>
              <w:pStyle w:val="TableParagraph"/>
              <w:rPr>
                <w:sz w:val="23"/>
              </w:rPr>
            </w:pPr>
            <w:r>
              <w:rPr>
                <w:spacing w:val="-2"/>
                <w:sz w:val="23"/>
              </w:rPr>
              <w:t>&lt;0.001</w:t>
            </w:r>
          </w:p>
        </w:tc>
      </w:tr>
      <w:tr>
        <w:trPr>
          <w:trHeight w:val="566" w:hRule="atLeast"/>
        </w:trPr>
        <w:tc>
          <w:tcPr>
            <w:tcW w:w="3272" w:type="dxa"/>
          </w:tcPr>
          <w:p>
            <w:pPr>
              <w:pStyle w:val="TableParagraph"/>
              <w:ind w:left="4"/>
              <w:rPr>
                <w:sz w:val="23"/>
              </w:rPr>
            </w:pPr>
            <w:r>
              <w:rPr>
                <w:sz w:val="23"/>
              </w:rPr>
              <w:t>Chronic</w:t>
            </w:r>
            <w:r>
              <w:rPr>
                <w:spacing w:val="-2"/>
                <w:sz w:val="23"/>
              </w:rPr>
              <w:t> </w:t>
            </w:r>
            <w:r>
              <w:rPr>
                <w:sz w:val="23"/>
              </w:rPr>
              <w:t>kidney</w:t>
            </w:r>
            <w:r>
              <w:rPr>
                <w:spacing w:val="-6"/>
                <w:sz w:val="23"/>
              </w:rPr>
              <w:t> </w:t>
            </w:r>
            <w:r>
              <w:rPr>
                <w:spacing w:val="-2"/>
                <w:sz w:val="23"/>
              </w:rPr>
              <w:t>disease</w:t>
            </w:r>
          </w:p>
        </w:tc>
        <w:tc>
          <w:tcPr>
            <w:tcW w:w="1834" w:type="dxa"/>
          </w:tcPr>
          <w:p>
            <w:pPr>
              <w:pStyle w:val="TableParagraph"/>
              <w:rPr>
                <w:sz w:val="23"/>
              </w:rPr>
            </w:pPr>
            <w:r>
              <w:rPr>
                <w:sz w:val="23"/>
              </w:rPr>
              <w:t>2.10 </w:t>
            </w:r>
            <w:r>
              <w:rPr>
                <w:spacing w:val="-2"/>
                <w:sz w:val="23"/>
              </w:rPr>
              <w:t>(1.30–3.40)</w:t>
            </w:r>
          </w:p>
        </w:tc>
        <w:tc>
          <w:tcPr>
            <w:tcW w:w="1042" w:type="dxa"/>
          </w:tcPr>
          <w:p>
            <w:pPr>
              <w:pStyle w:val="TableParagraph"/>
              <w:rPr>
                <w:sz w:val="23"/>
              </w:rPr>
            </w:pPr>
            <w:r>
              <w:rPr>
                <w:spacing w:val="-2"/>
                <w:sz w:val="23"/>
              </w:rPr>
              <w:t>0.002</w:t>
            </w:r>
          </w:p>
        </w:tc>
      </w:tr>
    </w:tbl>
    <w:sectPr>
      <w:pgSz w:w="11910" w:h="16840"/>
      <w:pgMar w:top="19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50" w:hanging="293"/>
        <w:jc w:val="left"/>
      </w:pPr>
      <w:rPr>
        <w:rFonts w:hint="default" w:ascii="Times New Roman" w:hAnsi="Times New Roman" w:eastAsia="Times New Roman" w:cs="Times New Roman"/>
        <w:b w:val="0"/>
        <w:bCs w:val="0"/>
        <w:i w:val="0"/>
        <w:iCs w:val="0"/>
        <w:spacing w:val="0"/>
        <w:w w:val="98"/>
        <w:sz w:val="22"/>
        <w:szCs w:val="22"/>
        <w:lang w:val="en-US" w:eastAsia="en-US" w:bidi="ar-SA"/>
      </w:rPr>
    </w:lvl>
    <w:lvl w:ilvl="1">
      <w:start w:val="0"/>
      <w:numFmt w:val="bullet"/>
      <w:lvlText w:val="•"/>
      <w:lvlJc w:val="left"/>
      <w:pPr>
        <w:ind w:left="1321" w:hanging="293"/>
      </w:pPr>
      <w:rPr>
        <w:rFonts w:hint="default"/>
        <w:lang w:val="en-US" w:eastAsia="en-US" w:bidi="ar-SA"/>
      </w:rPr>
    </w:lvl>
    <w:lvl w:ilvl="2">
      <w:start w:val="0"/>
      <w:numFmt w:val="bullet"/>
      <w:lvlText w:val="•"/>
      <w:lvlJc w:val="left"/>
      <w:pPr>
        <w:ind w:left="2182" w:hanging="293"/>
      </w:pPr>
      <w:rPr>
        <w:rFonts w:hint="default"/>
        <w:lang w:val="en-US" w:eastAsia="en-US" w:bidi="ar-SA"/>
      </w:rPr>
    </w:lvl>
    <w:lvl w:ilvl="3">
      <w:start w:val="0"/>
      <w:numFmt w:val="bullet"/>
      <w:lvlText w:val="•"/>
      <w:lvlJc w:val="left"/>
      <w:pPr>
        <w:ind w:left="3043" w:hanging="293"/>
      </w:pPr>
      <w:rPr>
        <w:rFonts w:hint="default"/>
        <w:lang w:val="en-US" w:eastAsia="en-US" w:bidi="ar-SA"/>
      </w:rPr>
    </w:lvl>
    <w:lvl w:ilvl="4">
      <w:start w:val="0"/>
      <w:numFmt w:val="bullet"/>
      <w:lvlText w:val="•"/>
      <w:lvlJc w:val="left"/>
      <w:pPr>
        <w:ind w:left="3904" w:hanging="293"/>
      </w:pPr>
      <w:rPr>
        <w:rFonts w:hint="default"/>
        <w:lang w:val="en-US" w:eastAsia="en-US" w:bidi="ar-SA"/>
      </w:rPr>
    </w:lvl>
    <w:lvl w:ilvl="5">
      <w:start w:val="0"/>
      <w:numFmt w:val="bullet"/>
      <w:lvlText w:val="•"/>
      <w:lvlJc w:val="left"/>
      <w:pPr>
        <w:ind w:left="4766" w:hanging="293"/>
      </w:pPr>
      <w:rPr>
        <w:rFonts w:hint="default"/>
        <w:lang w:val="en-US" w:eastAsia="en-US" w:bidi="ar-SA"/>
      </w:rPr>
    </w:lvl>
    <w:lvl w:ilvl="6">
      <w:start w:val="0"/>
      <w:numFmt w:val="bullet"/>
      <w:lvlText w:val="•"/>
      <w:lvlJc w:val="left"/>
      <w:pPr>
        <w:ind w:left="5627" w:hanging="293"/>
      </w:pPr>
      <w:rPr>
        <w:rFonts w:hint="default"/>
        <w:lang w:val="en-US" w:eastAsia="en-US" w:bidi="ar-SA"/>
      </w:rPr>
    </w:lvl>
    <w:lvl w:ilvl="7">
      <w:start w:val="0"/>
      <w:numFmt w:val="bullet"/>
      <w:lvlText w:val="•"/>
      <w:lvlJc w:val="left"/>
      <w:pPr>
        <w:ind w:left="6488" w:hanging="293"/>
      </w:pPr>
      <w:rPr>
        <w:rFonts w:hint="default"/>
        <w:lang w:val="en-US" w:eastAsia="en-US" w:bidi="ar-SA"/>
      </w:rPr>
    </w:lvl>
    <w:lvl w:ilvl="8">
      <w:start w:val="0"/>
      <w:numFmt w:val="bullet"/>
      <w:lvlText w:val="•"/>
      <w:lvlJc w:val="left"/>
      <w:pPr>
        <w:ind w:left="7349" w:hanging="29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59"/>
      <w:ind w:left="1331" w:hanging="1308"/>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450" w:right="1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45"/>
      <w:ind w:left="1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TUMJ</dc:creator>
  <dcterms:created xsi:type="dcterms:W3CDTF">2025-07-20T08:49:51Z</dcterms:created>
  <dcterms:modified xsi:type="dcterms:W3CDTF">2025-07-20T08:49:51Z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Microsoft® Word 2010</vt:lpwstr>
  </property>
  <property fmtid="{D5CDD505-2E9C-101B-9397-08002B2CF9AE}" pid="4" name="LastSaved">
    <vt:filetime>2025-07-20T00:00:00Z</vt:filetime>
  </property>
  <property fmtid="{D5CDD505-2E9C-101B-9397-08002B2CF9AE}" pid="5" name="Producer">
    <vt:lpwstr>Microsoft® Word 2010</vt:lpwstr>
  </property>
</Properties>
</file>