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E3" w:rsidRPr="00360B17" w:rsidRDefault="008C60CA" w:rsidP="00360B17">
      <w:pPr>
        <w:bidi w:val="0"/>
        <w:jc w:val="center"/>
        <w:rPr>
          <w:rFonts w:asciiTheme="majorBidi" w:hAnsiTheme="majorBidi" w:cstheme="majorBidi"/>
          <w:b/>
          <w:bCs/>
          <w:sz w:val="36"/>
          <w:szCs w:val="36"/>
        </w:rPr>
      </w:pPr>
      <w:r w:rsidRPr="00360B17">
        <w:rPr>
          <w:rFonts w:asciiTheme="majorBidi" w:hAnsiTheme="majorBidi" w:cstheme="majorBidi"/>
          <w:b/>
          <w:bCs/>
          <w:sz w:val="36"/>
          <w:szCs w:val="36"/>
        </w:rPr>
        <w:t xml:space="preserve">Identification of Plasma Metabolome </w:t>
      </w:r>
      <w:r w:rsidRPr="00360B17">
        <w:rPr>
          <w:rFonts w:asciiTheme="majorBidi" w:hAnsiTheme="majorBidi" w:cstheme="majorBidi"/>
          <w:b/>
          <w:bCs/>
          <w:sz w:val="36"/>
          <w:szCs w:val="36"/>
        </w:rPr>
        <w:t>in patients with mustard lung disease</w:t>
      </w:r>
      <w:r w:rsidRPr="00360B17">
        <w:rPr>
          <w:rFonts w:asciiTheme="majorBidi" w:hAnsiTheme="majorBidi" w:cstheme="majorBidi"/>
          <w:b/>
          <w:bCs/>
          <w:sz w:val="36"/>
          <w:szCs w:val="36"/>
        </w:rPr>
        <w:t xml:space="preserve"> using 1H NMR</w:t>
      </w:r>
    </w:p>
    <w:p w:rsidR="008C60CA" w:rsidRPr="00360B17" w:rsidRDefault="008C60CA" w:rsidP="008C60CA">
      <w:pPr>
        <w:bidi w:val="0"/>
        <w:rPr>
          <w:rFonts w:asciiTheme="majorBidi" w:hAnsiTheme="majorBidi" w:cstheme="majorBidi"/>
        </w:rPr>
      </w:pPr>
    </w:p>
    <w:p w:rsidR="00360B17" w:rsidRPr="00360B17" w:rsidRDefault="00360B17" w:rsidP="00360B17">
      <w:pPr>
        <w:autoSpaceDE w:val="0"/>
        <w:autoSpaceDN w:val="0"/>
        <w:bidi w:val="0"/>
        <w:adjustRightInd w:val="0"/>
        <w:spacing w:after="0" w:line="360" w:lineRule="auto"/>
        <w:rPr>
          <w:rFonts w:asciiTheme="majorBidi" w:hAnsiTheme="majorBidi" w:cstheme="majorBidi"/>
        </w:rPr>
      </w:pPr>
      <w:r w:rsidRPr="00360B17">
        <w:rPr>
          <w:rFonts w:asciiTheme="majorBidi" w:hAnsiTheme="majorBidi" w:cstheme="majorBidi"/>
        </w:rPr>
        <w:t>Vahid Jamshidi</w:t>
      </w:r>
      <w:r w:rsidRPr="00360B17">
        <w:rPr>
          <w:rFonts w:asciiTheme="majorBidi" w:hAnsiTheme="majorBidi" w:cstheme="majorBidi"/>
          <w:vertAlign w:val="superscript"/>
        </w:rPr>
        <w:t>1</w:t>
      </w:r>
      <w:r w:rsidRPr="00360B17">
        <w:rPr>
          <w:rFonts w:asciiTheme="majorBidi" w:hAnsiTheme="majorBidi" w:cstheme="majorBidi"/>
        </w:rPr>
        <w:t>, Hasan Bagheri</w:t>
      </w:r>
      <w:r w:rsidRPr="00360B17">
        <w:rPr>
          <w:rFonts w:asciiTheme="majorBidi" w:hAnsiTheme="majorBidi" w:cstheme="majorBidi"/>
          <w:vertAlign w:val="superscript"/>
        </w:rPr>
        <w:t>1</w:t>
      </w:r>
      <w:r w:rsidRPr="00360B17">
        <w:rPr>
          <w:rFonts w:asciiTheme="majorBidi" w:hAnsiTheme="majorBidi" w:cstheme="majorBidi"/>
        </w:rPr>
        <w:t>, Nahid Safari-Alighiarloo</w:t>
      </w:r>
      <w:r w:rsidRPr="00360B17">
        <w:rPr>
          <w:rFonts w:asciiTheme="majorBidi" w:hAnsiTheme="majorBidi" w:cstheme="majorBidi"/>
          <w:vertAlign w:val="superscript"/>
        </w:rPr>
        <w:t>2</w:t>
      </w:r>
      <w:r w:rsidRPr="00360B17">
        <w:rPr>
          <w:rFonts w:asciiTheme="majorBidi" w:hAnsiTheme="majorBidi" w:cstheme="majorBidi"/>
        </w:rPr>
        <w:t>, Mostafa Ghanei</w:t>
      </w:r>
      <w:r w:rsidRPr="00360B17">
        <w:rPr>
          <w:rFonts w:asciiTheme="majorBidi" w:hAnsiTheme="majorBidi" w:cstheme="majorBidi"/>
          <w:vertAlign w:val="superscript"/>
        </w:rPr>
        <w:t>1</w:t>
      </w:r>
      <w:r w:rsidRPr="00360B17">
        <w:rPr>
          <w:rFonts w:asciiTheme="majorBidi" w:hAnsiTheme="majorBidi" w:cstheme="majorBidi"/>
        </w:rPr>
        <w:t>, Shahram Parvin</w:t>
      </w:r>
      <w:r w:rsidRPr="00360B17">
        <w:rPr>
          <w:rFonts w:asciiTheme="majorBidi" w:hAnsiTheme="majorBidi" w:cstheme="majorBidi"/>
          <w:vertAlign w:val="superscript"/>
        </w:rPr>
        <w:t>1</w:t>
      </w:r>
      <w:r w:rsidRPr="00360B17">
        <w:rPr>
          <w:rFonts w:asciiTheme="majorBidi" w:hAnsiTheme="majorBidi" w:cstheme="majorBidi"/>
        </w:rPr>
        <w:t>, Mahmood Salesi</w:t>
      </w:r>
      <w:r w:rsidRPr="00360B17">
        <w:rPr>
          <w:rFonts w:asciiTheme="majorBidi" w:hAnsiTheme="majorBidi" w:cstheme="majorBidi"/>
          <w:vertAlign w:val="superscript"/>
        </w:rPr>
        <w:t>1</w:t>
      </w:r>
      <w:r w:rsidRPr="00360B17">
        <w:rPr>
          <w:rFonts w:asciiTheme="majorBidi" w:hAnsiTheme="majorBidi" w:cstheme="majorBidi"/>
        </w:rPr>
        <w:t>, B. Fatemeh Nobakht M. Gh.</w:t>
      </w:r>
      <w:r w:rsidRPr="00360B17">
        <w:rPr>
          <w:rFonts w:asciiTheme="majorBidi" w:hAnsiTheme="majorBidi" w:cstheme="majorBidi"/>
          <w:vertAlign w:val="superscript"/>
        </w:rPr>
        <w:t>1*</w:t>
      </w:r>
    </w:p>
    <w:p w:rsidR="00360B17" w:rsidRPr="00360B17" w:rsidRDefault="00360B17" w:rsidP="00360B17">
      <w:pPr>
        <w:pStyle w:val="ListParagraph"/>
        <w:numPr>
          <w:ilvl w:val="0"/>
          <w:numId w:val="1"/>
        </w:numPr>
        <w:shd w:val="clear" w:color="auto" w:fill="FFFFFF"/>
        <w:bidi w:val="0"/>
        <w:spacing w:after="0" w:line="360" w:lineRule="auto"/>
        <w:rPr>
          <w:rFonts w:asciiTheme="majorBidi" w:eastAsia="Times New Roman" w:hAnsiTheme="majorBidi" w:cstheme="majorBidi"/>
          <w:color w:val="000000"/>
          <w:sz w:val="20"/>
          <w:szCs w:val="20"/>
        </w:rPr>
      </w:pPr>
      <w:r w:rsidRPr="00360B17">
        <w:rPr>
          <w:rFonts w:asciiTheme="majorBidi" w:hAnsiTheme="majorBidi" w:cstheme="majorBidi"/>
          <w:sz w:val="20"/>
          <w:szCs w:val="20"/>
        </w:rPr>
        <w:t>Chemical Injuries Research Center, Systems Biology and Poisoning Institute, Baqiyatallah University of Medical Sciences, Tehran, Iran.</w:t>
      </w:r>
    </w:p>
    <w:p w:rsidR="00360B17" w:rsidRPr="00360B17" w:rsidRDefault="00360B17" w:rsidP="00360B17">
      <w:pPr>
        <w:pStyle w:val="ListParagraph"/>
        <w:numPr>
          <w:ilvl w:val="0"/>
          <w:numId w:val="1"/>
        </w:numPr>
        <w:shd w:val="clear" w:color="auto" w:fill="FFFFFF"/>
        <w:bidi w:val="0"/>
        <w:spacing w:after="0" w:line="360" w:lineRule="auto"/>
        <w:rPr>
          <w:rFonts w:asciiTheme="majorBidi" w:hAnsiTheme="majorBidi" w:cstheme="majorBidi"/>
          <w:sz w:val="20"/>
          <w:szCs w:val="20"/>
        </w:rPr>
      </w:pPr>
      <w:r w:rsidRPr="00360B17">
        <w:rPr>
          <w:rFonts w:asciiTheme="majorBidi" w:hAnsiTheme="majorBidi" w:cstheme="majorBidi"/>
          <w:sz w:val="20"/>
          <w:szCs w:val="20"/>
        </w:rPr>
        <w:t>Endocrine Research Center, Institute of Endocrinology and Metabolism, Iran University of Medical Sciences, Tehran, Iran</w:t>
      </w:r>
    </w:p>
    <w:p w:rsidR="00360B17" w:rsidRPr="00360B17" w:rsidRDefault="00360B17" w:rsidP="00360B17">
      <w:pPr>
        <w:shd w:val="clear" w:color="auto" w:fill="FFFFFF"/>
        <w:bidi w:val="0"/>
        <w:spacing w:after="0" w:line="360" w:lineRule="auto"/>
        <w:rPr>
          <w:rFonts w:asciiTheme="majorBidi" w:eastAsia="Times New Roman" w:hAnsiTheme="majorBidi" w:cstheme="majorBidi"/>
          <w:color w:val="000000"/>
          <w:sz w:val="20"/>
          <w:szCs w:val="20"/>
        </w:rPr>
      </w:pPr>
      <w:r w:rsidRPr="00360B17">
        <w:rPr>
          <w:rFonts w:asciiTheme="majorBidi" w:eastAsia="Times New Roman" w:hAnsiTheme="majorBidi" w:cstheme="majorBidi"/>
          <w:color w:val="000000"/>
          <w:sz w:val="20"/>
          <w:szCs w:val="20"/>
        </w:rPr>
        <w:t>*Corresponding author: B. Fatemeh Nobakht M. Gh (</w:t>
      </w:r>
      <w:hyperlink r:id="rId5" w:history="1">
        <w:r w:rsidRPr="00360B17">
          <w:rPr>
            <w:rStyle w:val="Hyperlink"/>
            <w:rFonts w:asciiTheme="majorBidi" w:eastAsia="Times New Roman" w:hAnsiTheme="majorBidi" w:cstheme="majorBidi"/>
            <w:sz w:val="20"/>
            <w:szCs w:val="20"/>
          </w:rPr>
          <w:t>fatemehnobakht@sbmu.ac.ir</w:t>
        </w:r>
      </w:hyperlink>
      <w:r w:rsidRPr="00360B17">
        <w:rPr>
          <w:rFonts w:asciiTheme="majorBidi" w:eastAsia="Times New Roman" w:hAnsiTheme="majorBidi" w:cstheme="majorBidi"/>
          <w:color w:val="000000"/>
          <w:sz w:val="20"/>
          <w:szCs w:val="20"/>
        </w:rPr>
        <w:t xml:space="preserve">), </w:t>
      </w:r>
      <w:r w:rsidRPr="00360B17">
        <w:rPr>
          <w:rFonts w:asciiTheme="majorBidi" w:hAnsiTheme="majorBidi" w:cstheme="majorBidi"/>
          <w:sz w:val="20"/>
          <w:szCs w:val="20"/>
        </w:rPr>
        <w:t>Chemical Injuries Research Center, Systems Biology and Poisoning Institute, Baqiyatallah University of Medical Sciences, Tehran, Iran.</w:t>
      </w:r>
    </w:p>
    <w:p w:rsidR="00360B17" w:rsidRPr="00360B17" w:rsidRDefault="00360B17" w:rsidP="00360B17">
      <w:pPr>
        <w:bidi w:val="0"/>
        <w:rPr>
          <w:rFonts w:asciiTheme="majorBidi" w:hAnsiTheme="majorBidi" w:cstheme="majorBidi"/>
        </w:rPr>
      </w:pPr>
    </w:p>
    <w:p w:rsidR="008C60CA" w:rsidRPr="004E7271" w:rsidRDefault="003C6B17" w:rsidP="004E7271">
      <w:pPr>
        <w:bidi w:val="0"/>
        <w:jc w:val="both"/>
        <w:rPr>
          <w:rFonts w:asciiTheme="majorBidi" w:hAnsiTheme="majorBidi" w:cstheme="majorBidi"/>
          <w:sz w:val="24"/>
          <w:szCs w:val="24"/>
        </w:rPr>
      </w:pPr>
      <w:r w:rsidRPr="004E7271">
        <w:rPr>
          <w:rFonts w:asciiTheme="majorBidi" w:hAnsiTheme="majorBidi" w:cstheme="majorBidi"/>
          <w:b/>
          <w:bCs/>
          <w:sz w:val="24"/>
          <w:szCs w:val="24"/>
        </w:rPr>
        <w:t>Background</w:t>
      </w:r>
      <w:r w:rsidRPr="004E7271">
        <w:rPr>
          <w:rFonts w:asciiTheme="majorBidi" w:hAnsiTheme="majorBidi" w:cstheme="majorBidi"/>
          <w:sz w:val="24"/>
          <w:szCs w:val="24"/>
        </w:rPr>
        <w:t>:</w:t>
      </w:r>
      <w:bookmarkStart w:id="0" w:name="_GoBack"/>
      <w:bookmarkEnd w:id="0"/>
      <w:r w:rsidRPr="004E7271">
        <w:rPr>
          <w:rFonts w:asciiTheme="majorBidi" w:hAnsiTheme="majorBidi" w:cstheme="majorBidi"/>
          <w:sz w:val="24"/>
          <w:szCs w:val="24"/>
        </w:rPr>
        <w:t xml:space="preserve"> </w:t>
      </w:r>
      <w:r w:rsidR="008C60CA" w:rsidRPr="004E7271">
        <w:rPr>
          <w:rFonts w:asciiTheme="majorBidi" w:hAnsiTheme="majorBidi" w:cstheme="majorBidi"/>
          <w:sz w:val="24"/>
          <w:szCs w:val="24"/>
        </w:rPr>
        <w:t>Sulfur mustard (SM) is a profoundly fatal chemical warfare agent that elicits severe health ramifications in individuals who come into contact with it. Acquiring comprehension regarding the metabolic alterations instigated by SM exposure is vital in comprehending its fundamental mechanisms and establishing efficacious diagnostic and therapeutic measures.</w:t>
      </w:r>
    </w:p>
    <w:p w:rsidR="003C6B17" w:rsidRPr="004E7271" w:rsidRDefault="003C6B17" w:rsidP="004E7271">
      <w:pPr>
        <w:bidi w:val="0"/>
        <w:jc w:val="both"/>
        <w:rPr>
          <w:rFonts w:asciiTheme="majorBidi" w:hAnsiTheme="majorBidi" w:cstheme="majorBidi"/>
          <w:sz w:val="24"/>
          <w:szCs w:val="24"/>
        </w:rPr>
      </w:pPr>
      <w:r w:rsidRPr="004E7271">
        <w:rPr>
          <w:rFonts w:asciiTheme="majorBidi" w:hAnsiTheme="majorBidi" w:cstheme="majorBidi"/>
          <w:b/>
          <w:bCs/>
          <w:sz w:val="24"/>
          <w:szCs w:val="24"/>
        </w:rPr>
        <w:t>Methods</w:t>
      </w:r>
      <w:r w:rsidRPr="004E7271">
        <w:rPr>
          <w:rFonts w:asciiTheme="majorBidi" w:hAnsiTheme="majorBidi" w:cstheme="majorBidi"/>
          <w:sz w:val="24"/>
          <w:szCs w:val="24"/>
        </w:rPr>
        <w:t>: In this study, proton nuclear magnetic resonance (H-NMR) spectroscopy was employed to carry out a metabolomic analysis in patients diagnosed with mustard lung disease (MLD). A non-targeted approach was used for metabolite measurements on plasma samples obtained from a total of 54 subjects, consisting of 14</w:t>
      </w:r>
      <w:r w:rsidRPr="004E7271">
        <w:rPr>
          <w:rFonts w:asciiTheme="majorBidi" w:hAnsiTheme="majorBidi" w:cstheme="majorBidi"/>
          <w:sz w:val="24"/>
          <w:szCs w:val="24"/>
        </w:rPr>
        <w:t xml:space="preserve">, </w:t>
      </w:r>
      <w:r w:rsidRPr="004E7271">
        <w:rPr>
          <w:rFonts w:asciiTheme="majorBidi" w:hAnsiTheme="majorBidi" w:cstheme="majorBidi"/>
          <w:sz w:val="24"/>
          <w:szCs w:val="24"/>
        </w:rPr>
        <w:t>20</w:t>
      </w:r>
      <w:r w:rsidRPr="004E7271">
        <w:rPr>
          <w:rFonts w:asciiTheme="majorBidi" w:hAnsiTheme="majorBidi" w:cstheme="majorBidi"/>
          <w:sz w:val="24"/>
          <w:szCs w:val="24"/>
        </w:rPr>
        <w:t>, and 20,</w:t>
      </w:r>
      <w:r w:rsidRPr="004E7271">
        <w:rPr>
          <w:rFonts w:asciiTheme="majorBidi" w:hAnsiTheme="majorBidi" w:cstheme="majorBidi"/>
          <w:sz w:val="24"/>
          <w:szCs w:val="24"/>
        </w:rPr>
        <w:t xml:space="preserve"> healthy</w:t>
      </w:r>
      <w:r w:rsidR="00D10E8D" w:rsidRPr="004E7271">
        <w:rPr>
          <w:rFonts w:asciiTheme="majorBidi" w:hAnsiTheme="majorBidi" w:cstheme="majorBidi"/>
          <w:sz w:val="24"/>
          <w:szCs w:val="24"/>
        </w:rPr>
        <w:t xml:space="preserve"> control</w:t>
      </w:r>
      <w:r w:rsidRPr="004E7271">
        <w:rPr>
          <w:rFonts w:asciiTheme="majorBidi" w:hAnsiTheme="majorBidi" w:cstheme="majorBidi"/>
          <w:sz w:val="24"/>
          <w:szCs w:val="24"/>
        </w:rPr>
        <w:t>, mild, and moderate</w:t>
      </w:r>
      <w:r w:rsidRPr="004E7271">
        <w:rPr>
          <w:rFonts w:asciiTheme="majorBidi" w:hAnsiTheme="majorBidi" w:cstheme="majorBidi"/>
          <w:sz w:val="24"/>
          <w:szCs w:val="24"/>
        </w:rPr>
        <w:t xml:space="preserve"> </w:t>
      </w:r>
      <w:r w:rsidR="00D10E8D" w:rsidRPr="004E7271">
        <w:rPr>
          <w:rFonts w:asciiTheme="majorBidi" w:hAnsiTheme="majorBidi" w:cstheme="majorBidi"/>
          <w:sz w:val="24"/>
          <w:szCs w:val="24"/>
        </w:rPr>
        <w:t xml:space="preserve">MLD </w:t>
      </w:r>
      <w:r w:rsidRPr="004E7271">
        <w:rPr>
          <w:rFonts w:asciiTheme="majorBidi" w:hAnsiTheme="majorBidi" w:cstheme="majorBidi"/>
          <w:sz w:val="24"/>
          <w:szCs w:val="24"/>
        </w:rPr>
        <w:t>individuals</w:t>
      </w:r>
      <w:r w:rsidR="00D10E8D" w:rsidRPr="004E7271">
        <w:rPr>
          <w:rFonts w:asciiTheme="majorBidi" w:hAnsiTheme="majorBidi" w:cstheme="majorBidi"/>
          <w:sz w:val="24"/>
          <w:szCs w:val="24"/>
        </w:rPr>
        <w:t>, respectively</w:t>
      </w:r>
      <w:r w:rsidRPr="004E7271">
        <w:rPr>
          <w:rFonts w:asciiTheme="majorBidi" w:hAnsiTheme="majorBidi" w:cstheme="majorBidi"/>
          <w:sz w:val="24"/>
          <w:szCs w:val="24"/>
        </w:rPr>
        <w:t>. Multivariate analysis methods were utilized to identify metabolites that differenti</w:t>
      </w:r>
      <w:r w:rsidR="00765BD2" w:rsidRPr="004E7271">
        <w:rPr>
          <w:rFonts w:asciiTheme="majorBidi" w:hAnsiTheme="majorBidi" w:cstheme="majorBidi"/>
          <w:sz w:val="24"/>
          <w:szCs w:val="24"/>
        </w:rPr>
        <w:t xml:space="preserve">ate between the various groups, </w:t>
      </w:r>
      <w:r w:rsidR="00D10E8D" w:rsidRPr="004E7271">
        <w:rPr>
          <w:rFonts w:asciiTheme="majorBidi" w:hAnsiTheme="majorBidi" w:cstheme="majorBidi"/>
          <w:sz w:val="24"/>
          <w:szCs w:val="24"/>
        </w:rPr>
        <w:t>while enrichment analysis was conducted to reveal the biochemical pathways implicated in the disease.</w:t>
      </w:r>
    </w:p>
    <w:p w:rsidR="00765BD2" w:rsidRPr="004E7271" w:rsidRDefault="00A91A16" w:rsidP="004E7271">
      <w:pPr>
        <w:bidi w:val="0"/>
        <w:jc w:val="both"/>
        <w:rPr>
          <w:rFonts w:asciiTheme="majorBidi" w:hAnsiTheme="majorBidi" w:cstheme="majorBidi"/>
          <w:sz w:val="24"/>
          <w:szCs w:val="24"/>
        </w:rPr>
      </w:pPr>
      <w:r w:rsidRPr="004E7271">
        <w:rPr>
          <w:rFonts w:asciiTheme="majorBidi" w:hAnsiTheme="majorBidi" w:cstheme="majorBidi"/>
          <w:b/>
          <w:bCs/>
          <w:sz w:val="24"/>
          <w:szCs w:val="24"/>
        </w:rPr>
        <w:t>Results</w:t>
      </w:r>
      <w:r w:rsidRPr="004E7271">
        <w:rPr>
          <w:rFonts w:asciiTheme="majorBidi" w:hAnsiTheme="majorBidi" w:cstheme="majorBidi"/>
          <w:sz w:val="24"/>
          <w:szCs w:val="24"/>
        </w:rPr>
        <w:t>:</w:t>
      </w:r>
      <w:r w:rsidRPr="004E7271">
        <w:rPr>
          <w:rFonts w:asciiTheme="majorBidi" w:hAnsiTheme="majorBidi" w:cstheme="majorBidi"/>
          <w:sz w:val="24"/>
          <w:szCs w:val="24"/>
        </w:rPr>
        <w:t xml:space="preserve"> </w:t>
      </w:r>
      <w:r w:rsidR="00765BD2" w:rsidRPr="004E7271">
        <w:rPr>
          <w:rFonts w:asciiTheme="majorBidi" w:hAnsiTheme="majorBidi" w:cstheme="majorBidi"/>
          <w:sz w:val="24"/>
          <w:szCs w:val="24"/>
        </w:rPr>
        <w:t xml:space="preserve">Based on the results obtained, it was found that the metabolic profile was able to distinguish between individuals with moderate symptoms and those who were healthy, but not between individuals with mild symptoms and healthy individuals, when using multivariate analysis. </w:t>
      </w:r>
      <w:r w:rsidRPr="004E7271">
        <w:rPr>
          <w:rFonts w:asciiTheme="majorBidi" w:hAnsiTheme="majorBidi" w:cstheme="majorBidi"/>
          <w:sz w:val="24"/>
          <w:szCs w:val="24"/>
        </w:rPr>
        <w:t xml:space="preserve">The results also indicated that individuals exhibiting moderate symptoms displayed notable </w:t>
      </w:r>
      <w:r w:rsidRPr="004E7271">
        <w:rPr>
          <w:rFonts w:asciiTheme="majorBidi" w:hAnsiTheme="majorBidi" w:cstheme="majorBidi"/>
          <w:sz w:val="24"/>
          <w:szCs w:val="24"/>
        </w:rPr>
        <w:t>changes</w:t>
      </w:r>
      <w:r w:rsidRPr="004E7271">
        <w:rPr>
          <w:rFonts w:asciiTheme="majorBidi" w:hAnsiTheme="majorBidi" w:cstheme="majorBidi"/>
          <w:sz w:val="24"/>
          <w:szCs w:val="24"/>
        </w:rPr>
        <w:t xml:space="preserve"> in both fatty acid and amino acid metabolism in comparison to the control group</w:t>
      </w:r>
      <w:r w:rsidRPr="004E7271">
        <w:rPr>
          <w:rFonts w:asciiTheme="majorBidi" w:hAnsiTheme="majorBidi" w:cstheme="majorBidi"/>
          <w:sz w:val="24"/>
          <w:szCs w:val="24"/>
        </w:rPr>
        <w:t xml:space="preserve">. </w:t>
      </w:r>
    </w:p>
    <w:p w:rsidR="00360B17" w:rsidRPr="004E7271" w:rsidRDefault="00360B17" w:rsidP="004E7271">
      <w:pPr>
        <w:bidi w:val="0"/>
        <w:jc w:val="both"/>
        <w:rPr>
          <w:rFonts w:asciiTheme="majorBidi" w:hAnsiTheme="majorBidi" w:cstheme="majorBidi"/>
          <w:sz w:val="24"/>
          <w:szCs w:val="24"/>
        </w:rPr>
      </w:pPr>
      <w:r w:rsidRPr="004E7271">
        <w:rPr>
          <w:rFonts w:asciiTheme="majorBidi" w:hAnsiTheme="majorBidi" w:cstheme="majorBidi"/>
          <w:b/>
          <w:bCs/>
          <w:sz w:val="24"/>
          <w:szCs w:val="24"/>
        </w:rPr>
        <w:t>Conclusion</w:t>
      </w:r>
      <w:r w:rsidRPr="004E7271">
        <w:rPr>
          <w:rFonts w:asciiTheme="majorBidi" w:hAnsiTheme="majorBidi" w:cstheme="majorBidi"/>
          <w:sz w:val="24"/>
          <w:szCs w:val="24"/>
        </w:rPr>
        <w:t>:</w:t>
      </w:r>
      <w:r w:rsidRPr="004E7271">
        <w:rPr>
          <w:rFonts w:asciiTheme="majorBidi" w:hAnsiTheme="majorBidi" w:cstheme="majorBidi"/>
          <w:sz w:val="24"/>
          <w:szCs w:val="24"/>
        </w:rPr>
        <w:t xml:space="preserve"> </w:t>
      </w:r>
      <w:r w:rsidRPr="004E7271">
        <w:rPr>
          <w:rFonts w:asciiTheme="majorBidi" w:hAnsiTheme="majorBidi" w:cstheme="majorBidi"/>
          <w:sz w:val="24"/>
          <w:szCs w:val="24"/>
        </w:rPr>
        <w:t xml:space="preserve">Our research offers original perspectives on the metabolic alterations linked to MLD and emphasizes the potential pathways implicated in the advancement of this disease. These </w:t>
      </w:r>
      <w:r w:rsidR="006137FA" w:rsidRPr="004E7271">
        <w:rPr>
          <w:rFonts w:asciiTheme="majorBidi" w:hAnsiTheme="majorBidi" w:cstheme="majorBidi"/>
          <w:sz w:val="24"/>
          <w:szCs w:val="24"/>
        </w:rPr>
        <w:t>results</w:t>
      </w:r>
      <w:r w:rsidRPr="004E7271">
        <w:rPr>
          <w:rFonts w:asciiTheme="majorBidi" w:hAnsiTheme="majorBidi" w:cstheme="majorBidi"/>
          <w:sz w:val="24"/>
          <w:szCs w:val="24"/>
        </w:rPr>
        <w:t xml:space="preserve"> hold significant implications for the advancement of specific diagnostic and therapeutic approaches tailored to MLD.</w:t>
      </w:r>
    </w:p>
    <w:p w:rsidR="006137FA" w:rsidRPr="006137FA" w:rsidRDefault="006137FA" w:rsidP="006137FA">
      <w:pPr>
        <w:bidi w:val="0"/>
        <w:spacing w:after="160" w:line="360" w:lineRule="auto"/>
        <w:rPr>
          <w:rFonts w:asciiTheme="majorBidi" w:hAnsiTheme="majorBidi" w:cstheme="majorBidi"/>
          <w:noProof w:val="0"/>
          <w:sz w:val="24"/>
          <w:szCs w:val="24"/>
          <w:lang w:bidi="ar-SA"/>
        </w:rPr>
      </w:pPr>
      <w:r w:rsidRPr="006137FA">
        <w:rPr>
          <w:rFonts w:asciiTheme="majorBidi" w:eastAsia="Times New Roman" w:hAnsiTheme="majorBidi" w:cstheme="majorBidi"/>
          <w:b/>
          <w:bCs/>
          <w:i/>
          <w:iCs/>
          <w:noProof w:val="0"/>
          <w:sz w:val="24"/>
          <w:szCs w:val="24"/>
          <w:lang w:bidi="ar-SA"/>
        </w:rPr>
        <w:t>Keywords</w:t>
      </w:r>
      <w:r w:rsidRPr="006137FA">
        <w:rPr>
          <w:rFonts w:asciiTheme="majorBidi" w:eastAsia="Times New Roman" w:hAnsiTheme="majorBidi" w:cstheme="majorBidi"/>
          <w:b/>
          <w:bCs/>
          <w:noProof w:val="0"/>
          <w:sz w:val="24"/>
          <w:szCs w:val="24"/>
          <w:lang w:bidi="ar-SA"/>
        </w:rPr>
        <w:t xml:space="preserve">: </w:t>
      </w:r>
      <w:r w:rsidRPr="004E7271">
        <w:rPr>
          <w:rFonts w:asciiTheme="majorBidi" w:hAnsiTheme="majorBidi" w:cstheme="majorBidi"/>
          <w:noProof w:val="0"/>
          <w:sz w:val="24"/>
          <w:szCs w:val="24"/>
          <w:lang w:bidi="ar-SA"/>
        </w:rPr>
        <w:t>Metabolome</w:t>
      </w:r>
      <w:r w:rsidRPr="006137FA">
        <w:rPr>
          <w:rFonts w:asciiTheme="majorBidi" w:hAnsiTheme="majorBidi" w:cstheme="majorBidi"/>
          <w:noProof w:val="0"/>
          <w:sz w:val="24"/>
          <w:szCs w:val="24"/>
          <w:lang w:bidi="ar-SA"/>
        </w:rPr>
        <w:t xml:space="preserve">, Plasma, </w:t>
      </w:r>
      <w:r w:rsidRPr="004E7271">
        <w:rPr>
          <w:rFonts w:asciiTheme="majorBidi" w:hAnsiTheme="majorBidi" w:cstheme="majorBidi"/>
          <w:noProof w:val="0"/>
          <w:sz w:val="24"/>
          <w:szCs w:val="24"/>
          <w:lang w:bidi="ar-SA"/>
        </w:rPr>
        <w:t>MLD</w:t>
      </w:r>
      <w:r w:rsidRPr="006137FA">
        <w:rPr>
          <w:rFonts w:asciiTheme="majorBidi" w:hAnsiTheme="majorBidi" w:cstheme="majorBidi"/>
          <w:noProof w:val="0"/>
          <w:sz w:val="24"/>
          <w:szCs w:val="24"/>
          <w:lang w:bidi="ar-SA"/>
        </w:rPr>
        <w:t>, HNMR</w:t>
      </w:r>
    </w:p>
    <w:p w:rsidR="006137FA" w:rsidRPr="00360B17" w:rsidRDefault="006137FA" w:rsidP="006137FA">
      <w:pPr>
        <w:bidi w:val="0"/>
        <w:rPr>
          <w:rFonts w:asciiTheme="majorBidi" w:hAnsiTheme="majorBidi" w:cstheme="majorBidi"/>
          <w:sz w:val="24"/>
          <w:szCs w:val="24"/>
        </w:rPr>
      </w:pPr>
    </w:p>
    <w:sectPr w:rsidR="006137FA" w:rsidRPr="00360B17" w:rsidSect="00051EF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66467"/>
    <w:multiLevelType w:val="hybridMultilevel"/>
    <w:tmpl w:val="18FCFC6E"/>
    <w:lvl w:ilvl="0" w:tplc="2320E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CA"/>
    <w:rsid w:val="00051EF0"/>
    <w:rsid w:val="00205DE3"/>
    <w:rsid w:val="00360B17"/>
    <w:rsid w:val="003C6B17"/>
    <w:rsid w:val="004E7271"/>
    <w:rsid w:val="006137FA"/>
    <w:rsid w:val="00765BD2"/>
    <w:rsid w:val="008C60CA"/>
    <w:rsid w:val="009C2D17"/>
    <w:rsid w:val="00A07504"/>
    <w:rsid w:val="00A91A16"/>
    <w:rsid w:val="00B02593"/>
    <w:rsid w:val="00CB0412"/>
    <w:rsid w:val="00CB24D1"/>
    <w:rsid w:val="00D10E8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687B"/>
  <w15:chartTrackingRefBased/>
  <w15:docId w15:val="{A55A1755-8B24-40B7-8EF9-EE6F9416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4D1"/>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24D1"/>
    <w:rPr>
      <w:i/>
      <w:iCs/>
    </w:rPr>
  </w:style>
  <w:style w:type="paragraph" w:styleId="ListParagraph">
    <w:name w:val="List Paragraph"/>
    <w:basedOn w:val="Normal"/>
    <w:uiPriority w:val="34"/>
    <w:qFormat/>
    <w:rsid w:val="00CB24D1"/>
    <w:pPr>
      <w:ind w:left="720"/>
      <w:contextualSpacing/>
    </w:pPr>
  </w:style>
  <w:style w:type="character" w:styleId="Hyperlink">
    <w:name w:val="Hyperlink"/>
    <w:basedOn w:val="DefaultParagraphFont"/>
    <w:uiPriority w:val="99"/>
    <w:unhideWhenUsed/>
    <w:rsid w:val="00360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temehnobakht@sbm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2023-08-20T05:55:00Z</dcterms:created>
  <dcterms:modified xsi:type="dcterms:W3CDTF">2023-08-20T07:50:00Z</dcterms:modified>
</cp:coreProperties>
</file>